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96" w:rsidRDefault="00DF3E96" w:rsidP="004D2F3C">
      <w:pPr>
        <w:jc w:val="center"/>
        <w:rPr>
          <w:snapToGrid w:val="0"/>
          <w:spacing w:val="8"/>
        </w:rPr>
      </w:pPr>
      <w:r>
        <w:rPr>
          <w:snapToGrid w:val="0"/>
          <w:spacing w:val="8"/>
          <w:lang w:val="uk-UA"/>
        </w:rPr>
        <w:t xml:space="preserve"> </w:t>
      </w:r>
      <w:r w:rsidRPr="00DE7DD6">
        <w:rPr>
          <w:noProof/>
          <w:spacing w:val="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filled="t" fillcolor="silver">
            <v:imagedata r:id="rId5" o:title=""/>
          </v:shape>
        </w:pict>
      </w:r>
    </w:p>
    <w:p w:rsidR="00DF3E96" w:rsidRPr="00EB7C82" w:rsidRDefault="00DF3E96" w:rsidP="00EB7C82">
      <w:pPr>
        <w:pStyle w:val="Heading1"/>
        <w:jc w:val="center"/>
        <w:rPr>
          <w:b/>
          <w:i w:val="0"/>
          <w:szCs w:val="28"/>
          <w:lang w:val="ru-RU"/>
        </w:rPr>
      </w:pPr>
      <w:r w:rsidRPr="00511E3A">
        <w:rPr>
          <w:b/>
          <w:i w:val="0"/>
          <w:szCs w:val="28"/>
        </w:rPr>
        <w:t>УКРАЇНА</w:t>
      </w:r>
    </w:p>
    <w:p w:rsidR="00DF3E96" w:rsidRPr="00511E3A" w:rsidRDefault="00DF3E96" w:rsidP="00511E3A">
      <w:pPr>
        <w:jc w:val="center"/>
        <w:rPr>
          <w:b/>
          <w:sz w:val="28"/>
          <w:szCs w:val="28"/>
          <w:lang w:val="uk-UA"/>
        </w:rPr>
      </w:pPr>
      <w:r w:rsidRPr="00511E3A">
        <w:rPr>
          <w:b/>
          <w:sz w:val="28"/>
          <w:szCs w:val="28"/>
          <w:lang w:val="uk-UA"/>
        </w:rPr>
        <w:t>ВОЛИНСЬКА ОБЛАСТЬ</w:t>
      </w:r>
    </w:p>
    <w:p w:rsidR="00DF3E96" w:rsidRPr="00511E3A" w:rsidRDefault="00DF3E96" w:rsidP="00511E3A">
      <w:pPr>
        <w:jc w:val="center"/>
        <w:rPr>
          <w:b/>
          <w:sz w:val="28"/>
          <w:szCs w:val="28"/>
          <w:lang w:val="uk-UA"/>
        </w:rPr>
      </w:pPr>
      <w:r w:rsidRPr="00511E3A">
        <w:rPr>
          <w:b/>
          <w:sz w:val="28"/>
          <w:szCs w:val="28"/>
          <w:lang w:val="uk-UA"/>
        </w:rPr>
        <w:t>КОМУНАЛЬНЕ ПІДПРИЄМСТВО</w:t>
      </w:r>
    </w:p>
    <w:p w:rsidR="00DF3E96" w:rsidRPr="00511E3A" w:rsidRDefault="00DF3E96" w:rsidP="00511E3A">
      <w:pPr>
        <w:jc w:val="center"/>
        <w:rPr>
          <w:b/>
          <w:sz w:val="28"/>
          <w:szCs w:val="28"/>
          <w:lang w:val="uk-UA"/>
        </w:rPr>
      </w:pPr>
      <w:r w:rsidRPr="00511E3A">
        <w:rPr>
          <w:b/>
          <w:sz w:val="28"/>
          <w:szCs w:val="28"/>
          <w:lang w:val="uk-UA"/>
        </w:rPr>
        <w:t xml:space="preserve">«РОЖИЩЕНСЬКА </w:t>
      </w:r>
      <w:r>
        <w:rPr>
          <w:b/>
          <w:sz w:val="28"/>
          <w:szCs w:val="28"/>
          <w:lang w:val="uk-UA"/>
        </w:rPr>
        <w:t>БАГАТОПРОФІЛЬНА</w:t>
      </w:r>
      <w:r w:rsidRPr="00511E3A">
        <w:rPr>
          <w:b/>
          <w:sz w:val="28"/>
          <w:szCs w:val="28"/>
          <w:lang w:val="uk-UA"/>
        </w:rPr>
        <w:t xml:space="preserve"> ЛІКАРНЯ»</w:t>
      </w:r>
    </w:p>
    <w:p w:rsidR="00DF3E96" w:rsidRPr="00511E3A" w:rsidRDefault="00DF3E96" w:rsidP="00511E3A">
      <w:pPr>
        <w:jc w:val="center"/>
        <w:rPr>
          <w:lang w:val="uk-UA"/>
        </w:rPr>
      </w:pPr>
      <w:r>
        <w:rPr>
          <w:b/>
          <w:sz w:val="28"/>
          <w:szCs w:val="28"/>
          <w:lang w:val="uk-UA"/>
        </w:rPr>
        <w:t>РОЖИЩЕНСЬКОЇ МІСЬК</w:t>
      </w:r>
      <w:r w:rsidRPr="00511E3A">
        <w:rPr>
          <w:b/>
          <w:sz w:val="28"/>
          <w:szCs w:val="28"/>
          <w:lang w:val="uk-UA"/>
        </w:rPr>
        <w:t>ОЇ РАДИ</w:t>
      </w:r>
    </w:p>
    <w:p w:rsidR="00DF3E96" w:rsidRDefault="00DF3E96" w:rsidP="004D2F3C">
      <w:pPr>
        <w:jc w:val="center"/>
        <w:rPr>
          <w:lang w:val="uk-UA"/>
        </w:rPr>
      </w:pPr>
      <w:r w:rsidRPr="003D51F1">
        <w:rPr>
          <w:lang w:val="uk-UA"/>
        </w:rPr>
        <w:t>вул.</w:t>
      </w:r>
      <w:r>
        <w:rPr>
          <w:lang w:val="uk-UA"/>
        </w:rPr>
        <w:t xml:space="preserve"> Коте Шилокадзе</w:t>
      </w:r>
      <w:r w:rsidRPr="003D51F1">
        <w:rPr>
          <w:lang w:val="uk-UA"/>
        </w:rPr>
        <w:t xml:space="preserve">, </w:t>
      </w:r>
      <w:smartTag w:uri="urn:schemas-microsoft-com:office:smarttags" w:element="metricconverter">
        <w:smartTagPr>
          <w:attr w:name="ProductID" w:val="19, м"/>
        </w:smartTagPr>
        <w:r>
          <w:rPr>
            <w:lang w:val="uk-UA"/>
          </w:rPr>
          <w:t>19</w:t>
        </w:r>
        <w:r w:rsidRPr="003D51F1">
          <w:rPr>
            <w:lang w:val="uk-UA"/>
          </w:rPr>
          <w:t>, м</w:t>
        </w:r>
      </w:smartTag>
      <w:r w:rsidRPr="003D51F1">
        <w:rPr>
          <w:lang w:val="uk-UA"/>
        </w:rPr>
        <w:t xml:space="preserve">. </w:t>
      </w:r>
      <w:r>
        <w:rPr>
          <w:lang w:val="uk-UA"/>
        </w:rPr>
        <w:t>Рожище</w:t>
      </w:r>
      <w:r w:rsidRPr="003D51F1">
        <w:rPr>
          <w:lang w:val="uk-UA"/>
        </w:rPr>
        <w:t>, 4</w:t>
      </w:r>
      <w:r>
        <w:rPr>
          <w:lang w:val="uk-UA"/>
        </w:rPr>
        <w:t>5100</w:t>
      </w:r>
      <w:r w:rsidRPr="003D51F1">
        <w:rPr>
          <w:lang w:val="uk-UA"/>
        </w:rPr>
        <w:t>, тел./факс (033</w:t>
      </w:r>
      <w:r>
        <w:rPr>
          <w:lang w:val="uk-UA"/>
        </w:rPr>
        <w:t>68</w:t>
      </w:r>
      <w:r w:rsidRPr="003D51F1">
        <w:rPr>
          <w:lang w:val="uk-UA"/>
        </w:rPr>
        <w:t>) 2</w:t>
      </w:r>
      <w:r>
        <w:rPr>
          <w:lang w:val="uk-UA"/>
        </w:rPr>
        <w:t>1 248</w:t>
      </w:r>
      <w:r w:rsidRPr="003D51F1">
        <w:rPr>
          <w:lang w:val="uk-UA"/>
        </w:rPr>
        <w:t xml:space="preserve">, </w:t>
      </w:r>
    </w:p>
    <w:p w:rsidR="00DF3E96" w:rsidRDefault="00DF3E96" w:rsidP="004D2F3C">
      <w:pPr>
        <w:jc w:val="center"/>
        <w:rPr>
          <w:lang w:val="uk-UA"/>
        </w:rPr>
      </w:pPr>
      <w:r w:rsidRPr="003D51F1">
        <w:rPr>
          <w:lang w:val="uk-UA"/>
        </w:rPr>
        <w:t xml:space="preserve"> е-</w:t>
      </w:r>
      <w:r w:rsidRPr="003D51F1">
        <w:rPr>
          <w:lang w:val="en-US"/>
        </w:rPr>
        <w:t>mail</w:t>
      </w:r>
      <w:r w:rsidRPr="003D51F1">
        <w:rPr>
          <w:color w:val="33CCCC"/>
          <w:lang w:val="uk-UA"/>
        </w:rPr>
        <w:t xml:space="preserve">: </w:t>
      </w:r>
      <w:r>
        <w:rPr>
          <w:color w:val="33CCCC"/>
          <w:lang w:val="en-US"/>
        </w:rPr>
        <w:t>roz</w:t>
      </w:r>
      <w:r w:rsidRPr="00511E3A">
        <w:rPr>
          <w:color w:val="33CCCC"/>
          <w:lang w:val="uk-UA"/>
        </w:rPr>
        <w:t>_</w:t>
      </w:r>
      <w:r>
        <w:rPr>
          <w:color w:val="33CCCC"/>
          <w:lang w:val="en-US"/>
        </w:rPr>
        <w:t>clinik</w:t>
      </w:r>
      <w:r w:rsidRPr="00511E3A">
        <w:rPr>
          <w:color w:val="33CCCC"/>
          <w:lang w:val="uk-UA"/>
        </w:rPr>
        <w:t>@</w:t>
      </w:r>
      <w:r>
        <w:rPr>
          <w:color w:val="33CCCC"/>
          <w:lang w:val="en-US"/>
        </w:rPr>
        <w:t>ukr</w:t>
      </w:r>
      <w:r w:rsidRPr="00511E3A">
        <w:rPr>
          <w:color w:val="33CCCC"/>
          <w:lang w:val="uk-UA"/>
        </w:rPr>
        <w:t>.</w:t>
      </w:r>
      <w:r>
        <w:rPr>
          <w:color w:val="33CCCC"/>
          <w:lang w:val="en-US"/>
        </w:rPr>
        <w:t>net</w:t>
      </w:r>
      <w:r w:rsidRPr="003D51F1">
        <w:rPr>
          <w:lang w:val="uk-UA"/>
        </w:rPr>
        <w:t xml:space="preserve">,  код ЄДРПОУ </w:t>
      </w:r>
      <w:r w:rsidRPr="00511E3A">
        <w:rPr>
          <w:lang w:val="uk-UA"/>
        </w:rPr>
        <w:t>01982910</w:t>
      </w:r>
    </w:p>
    <w:p w:rsidR="00DF3E96" w:rsidRPr="00511E3A" w:rsidRDefault="00DF3E96" w:rsidP="004D2F3C">
      <w:pPr>
        <w:jc w:val="center"/>
        <w:rPr>
          <w:lang w:val="uk-UA"/>
        </w:rPr>
      </w:pPr>
      <w:r>
        <w:rPr>
          <w:lang w:val="uk-UA"/>
        </w:rPr>
        <w:t>_______________________________________________________________________________</w:t>
      </w:r>
    </w:p>
    <w:p w:rsidR="00DF3E96" w:rsidRPr="006D3AF7" w:rsidRDefault="00DF3E96" w:rsidP="002F6344">
      <w:pPr>
        <w:jc w:val="center"/>
        <w:rPr>
          <w:sz w:val="28"/>
          <w:szCs w:val="28"/>
        </w:rPr>
      </w:pPr>
      <w:r w:rsidRPr="006D3AF7">
        <w:rPr>
          <w:sz w:val="28"/>
          <w:szCs w:val="28"/>
        </w:rPr>
        <w:t>ПОЯСНЮВАЛЬНА ЗАПИСКА</w:t>
      </w:r>
    </w:p>
    <w:p w:rsidR="00DF3E96" w:rsidRDefault="00DF3E96" w:rsidP="002F6344">
      <w:pPr>
        <w:jc w:val="center"/>
        <w:rPr>
          <w:sz w:val="28"/>
          <w:szCs w:val="28"/>
          <w:lang w:val="uk-UA"/>
        </w:rPr>
      </w:pPr>
      <w:r>
        <w:rPr>
          <w:sz w:val="28"/>
          <w:szCs w:val="28"/>
          <w:lang w:val="uk-UA"/>
        </w:rPr>
        <w:t>щодо результатів діяльності за І квартал 2022 року</w:t>
      </w:r>
      <w:r w:rsidRPr="006D3AF7">
        <w:rPr>
          <w:sz w:val="28"/>
          <w:szCs w:val="28"/>
        </w:rPr>
        <w:t xml:space="preserve"> </w:t>
      </w:r>
    </w:p>
    <w:p w:rsidR="00DF3E96" w:rsidRPr="006D3AF7" w:rsidRDefault="00DF3E96" w:rsidP="002F6344">
      <w:pPr>
        <w:jc w:val="center"/>
        <w:rPr>
          <w:sz w:val="28"/>
          <w:szCs w:val="28"/>
        </w:rPr>
      </w:pPr>
      <w:r w:rsidRPr="006D3AF7">
        <w:rPr>
          <w:sz w:val="28"/>
          <w:szCs w:val="28"/>
        </w:rPr>
        <w:t xml:space="preserve">комунального підприємства «Рожищенська багатопрофільна лікарня» </w:t>
      </w:r>
    </w:p>
    <w:p w:rsidR="00DF3E96" w:rsidRPr="003851F4" w:rsidRDefault="00DF3E96" w:rsidP="002F6344">
      <w:pPr>
        <w:jc w:val="center"/>
        <w:rPr>
          <w:sz w:val="28"/>
          <w:szCs w:val="28"/>
          <w:lang w:val="uk-UA"/>
        </w:rPr>
      </w:pPr>
      <w:r w:rsidRPr="006D3AF7">
        <w:rPr>
          <w:sz w:val="28"/>
          <w:szCs w:val="28"/>
        </w:rPr>
        <w:t>Рожище</w:t>
      </w:r>
      <w:r>
        <w:rPr>
          <w:sz w:val="28"/>
          <w:szCs w:val="28"/>
        </w:rPr>
        <w:t>нської міської ради</w:t>
      </w:r>
    </w:p>
    <w:p w:rsidR="00DF3E96" w:rsidRDefault="00DF3E96" w:rsidP="00FE129B">
      <w:pPr>
        <w:ind w:firstLine="708"/>
        <w:jc w:val="both"/>
        <w:rPr>
          <w:sz w:val="28"/>
          <w:szCs w:val="28"/>
          <w:lang w:val="uk-UA"/>
        </w:rPr>
      </w:pPr>
    </w:p>
    <w:p w:rsidR="00DF3E96" w:rsidRDefault="00DF3E96" w:rsidP="006263E5">
      <w:pPr>
        <w:spacing w:line="276" w:lineRule="auto"/>
        <w:ind w:firstLine="708"/>
        <w:jc w:val="both"/>
        <w:rPr>
          <w:sz w:val="28"/>
          <w:szCs w:val="28"/>
          <w:lang w:val="uk-UA"/>
        </w:rPr>
      </w:pPr>
      <w:r>
        <w:rPr>
          <w:sz w:val="28"/>
          <w:szCs w:val="28"/>
          <w:lang w:val="uk-UA"/>
        </w:rPr>
        <w:t xml:space="preserve">Комунальне підприємство «Рожищенська багатопрофільна лікарня» Рожищенської міської ради забезпечує надання кваліфікованої  спеціалізованої  (вторинної) амбулаторно-поліклінічної та стаціонарної медичної допомоги населенню. В її структуру входять консультативна поліклініка, в якій здійснюють консультативний прийом амбулаторних хворих лікарями по 20 спеціальностях, стаціонарні відділення на 130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DF3E96" w:rsidRDefault="00DF3E96" w:rsidP="006263E5">
      <w:pPr>
        <w:spacing w:line="276" w:lineRule="auto"/>
        <w:ind w:firstLine="708"/>
        <w:jc w:val="both"/>
        <w:rPr>
          <w:sz w:val="28"/>
          <w:szCs w:val="28"/>
          <w:lang w:val="uk-UA"/>
        </w:rPr>
      </w:pPr>
      <w:r>
        <w:rPr>
          <w:sz w:val="28"/>
          <w:szCs w:val="28"/>
          <w:lang w:val="uk-UA"/>
        </w:rPr>
        <w:t>Робота лікарні організована в цілодобовому режимі з постійного готовністю для надання своєчасної медичної допомоги. Це забезпечується цілодобовим чергуванням лікарів-хірургів, акушер-гінекологів, анестезіологів-реаніматологів.</w:t>
      </w:r>
    </w:p>
    <w:p w:rsidR="00DF3E96" w:rsidRPr="00F53469" w:rsidRDefault="00DF3E96" w:rsidP="00992642">
      <w:pPr>
        <w:spacing w:line="276" w:lineRule="auto"/>
        <w:ind w:firstLine="567"/>
        <w:jc w:val="both"/>
        <w:rPr>
          <w:bCs/>
          <w:color w:val="000000"/>
          <w:sz w:val="28"/>
          <w:szCs w:val="28"/>
          <w:lang w:val="uk-UA"/>
        </w:rPr>
      </w:pPr>
      <w:r>
        <w:rPr>
          <w:bCs/>
          <w:color w:val="000000"/>
          <w:sz w:val="28"/>
          <w:szCs w:val="28"/>
          <w:lang w:val="uk-UA"/>
        </w:rPr>
        <w:t>07 лютого 2022 року п</w:t>
      </w:r>
      <w:r w:rsidRPr="00F53469">
        <w:rPr>
          <w:bCs/>
          <w:color w:val="000000"/>
          <w:sz w:val="28"/>
          <w:szCs w:val="28"/>
        </w:rPr>
        <w:t>ідприємством укладено догов</w:t>
      </w:r>
      <w:r>
        <w:rPr>
          <w:bCs/>
          <w:color w:val="000000"/>
          <w:sz w:val="28"/>
          <w:szCs w:val="28"/>
          <w:lang w:val="uk-UA"/>
        </w:rPr>
        <w:t>ір</w:t>
      </w:r>
      <w:r w:rsidRPr="00F53469">
        <w:rPr>
          <w:bCs/>
          <w:color w:val="000000"/>
          <w:sz w:val="28"/>
          <w:szCs w:val="28"/>
        </w:rPr>
        <w:t xml:space="preserve"> </w:t>
      </w:r>
      <w:r>
        <w:rPr>
          <w:bCs/>
          <w:color w:val="000000"/>
          <w:sz w:val="28"/>
          <w:szCs w:val="28"/>
        </w:rPr>
        <w:t xml:space="preserve">№ 0101-Е122-Р000/01 </w:t>
      </w:r>
      <w:r w:rsidRPr="00F53469">
        <w:rPr>
          <w:bCs/>
          <w:color w:val="000000"/>
          <w:sz w:val="28"/>
          <w:szCs w:val="28"/>
        </w:rPr>
        <w:t>з Національною службою здоров’я про медичне обслуговування населення за програмою медичних гарантій</w:t>
      </w:r>
      <w:r w:rsidRPr="00F53469">
        <w:rPr>
          <w:bCs/>
          <w:color w:val="000000"/>
          <w:sz w:val="28"/>
          <w:szCs w:val="28"/>
          <w:lang w:val="uk-UA"/>
        </w:rPr>
        <w:t xml:space="preserve"> на суму </w:t>
      </w:r>
      <w:r>
        <w:rPr>
          <w:bCs/>
          <w:color w:val="000000"/>
          <w:sz w:val="28"/>
          <w:szCs w:val="28"/>
          <w:lang w:val="uk-UA"/>
        </w:rPr>
        <w:t>48 965 791,88</w:t>
      </w:r>
      <w:r w:rsidRPr="00F53469">
        <w:rPr>
          <w:bCs/>
          <w:color w:val="000000"/>
          <w:sz w:val="28"/>
          <w:szCs w:val="28"/>
          <w:lang w:val="uk-UA"/>
        </w:rPr>
        <w:t xml:space="preserve"> грн.</w:t>
      </w:r>
    </w:p>
    <w:p w:rsidR="00DF3E96" w:rsidRDefault="00DF3E96" w:rsidP="00992642">
      <w:pPr>
        <w:spacing w:line="276" w:lineRule="auto"/>
        <w:ind w:firstLine="709"/>
        <w:jc w:val="both"/>
        <w:rPr>
          <w:sz w:val="28"/>
          <w:szCs w:val="28"/>
          <w:lang w:val="uk-UA"/>
        </w:rPr>
      </w:pPr>
      <w:r>
        <w:rPr>
          <w:sz w:val="28"/>
          <w:szCs w:val="28"/>
          <w:lang w:val="uk-UA"/>
        </w:rPr>
        <w:t xml:space="preserve">У І кварталі надходження коштів становить </w:t>
      </w:r>
      <w:r w:rsidRPr="000565DC">
        <w:rPr>
          <w:b/>
          <w:sz w:val="28"/>
          <w:szCs w:val="28"/>
          <w:u w:val="single"/>
          <w:lang w:val="uk-UA"/>
        </w:rPr>
        <w:t>13 543 912,80 грн.,</w:t>
      </w:r>
      <w:r>
        <w:rPr>
          <w:sz w:val="28"/>
          <w:szCs w:val="28"/>
          <w:lang w:val="uk-UA"/>
        </w:rPr>
        <w:t xml:space="preserve"> о</w:t>
      </w:r>
      <w:r w:rsidRPr="00BB11E7">
        <w:rPr>
          <w:sz w:val="28"/>
          <w:szCs w:val="28"/>
          <w:lang w:val="uk-UA"/>
        </w:rPr>
        <w:t xml:space="preserve">сновну дохідну частину підприємства складають </w:t>
      </w:r>
      <w:r>
        <w:rPr>
          <w:sz w:val="28"/>
          <w:szCs w:val="28"/>
          <w:lang w:val="uk-UA"/>
        </w:rPr>
        <w:t>надходження</w:t>
      </w:r>
      <w:r w:rsidRPr="00BB11E7">
        <w:rPr>
          <w:sz w:val="28"/>
          <w:szCs w:val="28"/>
          <w:lang w:val="uk-UA"/>
        </w:rPr>
        <w:t xml:space="preserve">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Pr>
          <w:b/>
          <w:sz w:val="28"/>
          <w:szCs w:val="28"/>
          <w:u w:val="single"/>
          <w:lang w:val="uk-UA"/>
        </w:rPr>
        <w:t>11</w:t>
      </w:r>
      <w:r w:rsidRPr="0064040D">
        <w:rPr>
          <w:b/>
          <w:sz w:val="28"/>
          <w:szCs w:val="28"/>
          <w:u w:val="single"/>
          <w:lang w:val="uk-UA"/>
        </w:rPr>
        <w:t> </w:t>
      </w:r>
      <w:r>
        <w:rPr>
          <w:b/>
          <w:sz w:val="28"/>
          <w:szCs w:val="28"/>
          <w:u w:val="single"/>
          <w:lang w:val="uk-UA"/>
        </w:rPr>
        <w:t>906 033,81</w:t>
      </w:r>
      <w:r w:rsidRPr="0064040D">
        <w:rPr>
          <w:b/>
          <w:sz w:val="28"/>
          <w:szCs w:val="28"/>
          <w:u w:val="single"/>
          <w:lang w:val="uk-UA"/>
        </w:rPr>
        <w:t xml:space="preserve"> грн. (</w:t>
      </w:r>
      <w:r>
        <w:rPr>
          <w:b/>
          <w:sz w:val="28"/>
          <w:szCs w:val="28"/>
          <w:u w:val="single"/>
          <w:lang w:val="uk-UA"/>
        </w:rPr>
        <w:t>87,9</w:t>
      </w:r>
      <w:r w:rsidRPr="0064040D">
        <w:rPr>
          <w:b/>
          <w:sz w:val="28"/>
          <w:szCs w:val="28"/>
          <w:u w:val="single"/>
          <w:lang w:val="uk-UA"/>
        </w:rPr>
        <w:t>%)</w:t>
      </w:r>
      <w:r w:rsidRPr="00BB11E7">
        <w:rPr>
          <w:sz w:val="28"/>
          <w:szCs w:val="28"/>
          <w:lang w:val="uk-UA"/>
        </w:rPr>
        <w:t xml:space="preserve"> </w:t>
      </w:r>
      <w:r>
        <w:rPr>
          <w:sz w:val="28"/>
          <w:szCs w:val="28"/>
          <w:lang w:val="uk-UA"/>
        </w:rPr>
        <w:t xml:space="preserve">. </w:t>
      </w:r>
    </w:p>
    <w:p w:rsidR="00DF3E96" w:rsidRPr="008E332E" w:rsidRDefault="00DF3E96" w:rsidP="00992642">
      <w:pPr>
        <w:spacing w:line="276" w:lineRule="auto"/>
        <w:ind w:firstLine="709"/>
        <w:jc w:val="both"/>
        <w:rPr>
          <w:lang w:val="uk-UA"/>
        </w:rPr>
      </w:pPr>
      <w:r>
        <w:rPr>
          <w:color w:val="000000"/>
          <w:sz w:val="28"/>
          <w:szCs w:val="28"/>
          <w:lang w:val="uk-UA" w:eastAsia="uk-UA" w:bidi="mr-IN"/>
        </w:rPr>
        <w:t xml:space="preserve"> </w:t>
      </w:r>
      <w:r w:rsidRPr="00BB11E7">
        <w:rPr>
          <w:color w:val="000000"/>
          <w:sz w:val="28"/>
          <w:szCs w:val="28"/>
          <w:lang w:val="uk-UA" w:eastAsia="uk-UA" w:bidi="mr-IN"/>
        </w:rPr>
        <w:t xml:space="preserve">З міцевого бюджету </w:t>
      </w:r>
      <w:r>
        <w:rPr>
          <w:color w:val="000000"/>
          <w:sz w:val="28"/>
          <w:szCs w:val="28"/>
          <w:lang w:val="uk-UA" w:eastAsia="uk-UA" w:bidi="mr-IN"/>
        </w:rPr>
        <w:t xml:space="preserve">надійшло </w:t>
      </w:r>
      <w:r>
        <w:rPr>
          <w:b/>
          <w:color w:val="000000"/>
          <w:sz w:val="28"/>
          <w:szCs w:val="28"/>
          <w:u w:val="single"/>
          <w:lang w:val="uk-UA" w:eastAsia="uk-UA" w:bidi="mr-IN"/>
        </w:rPr>
        <w:t>1</w:t>
      </w:r>
      <w:r w:rsidRPr="0064040D">
        <w:rPr>
          <w:b/>
          <w:color w:val="000000"/>
          <w:sz w:val="28"/>
          <w:szCs w:val="28"/>
          <w:u w:val="single"/>
          <w:lang w:val="uk-UA" w:eastAsia="uk-UA" w:bidi="mr-IN"/>
        </w:rPr>
        <w:t> </w:t>
      </w:r>
      <w:r>
        <w:rPr>
          <w:b/>
          <w:color w:val="000000"/>
          <w:sz w:val="28"/>
          <w:szCs w:val="28"/>
          <w:u w:val="single"/>
          <w:lang w:val="uk-UA" w:eastAsia="uk-UA" w:bidi="mr-IN"/>
        </w:rPr>
        <w:t>327 844,11</w:t>
      </w:r>
      <w:r w:rsidRPr="0064040D">
        <w:rPr>
          <w:b/>
          <w:color w:val="000000"/>
          <w:sz w:val="28"/>
          <w:szCs w:val="28"/>
          <w:u w:val="single"/>
          <w:lang w:val="uk-UA" w:eastAsia="uk-UA" w:bidi="mr-IN"/>
        </w:rPr>
        <w:t xml:space="preserve"> грн., (</w:t>
      </w:r>
      <w:r>
        <w:rPr>
          <w:b/>
          <w:color w:val="000000"/>
          <w:sz w:val="28"/>
          <w:szCs w:val="28"/>
          <w:u w:val="single"/>
          <w:lang w:val="uk-UA" w:eastAsia="uk-UA" w:bidi="mr-IN"/>
        </w:rPr>
        <w:t>9,8</w:t>
      </w:r>
      <w:r w:rsidRPr="0064040D">
        <w:rPr>
          <w:b/>
          <w:color w:val="000000"/>
          <w:sz w:val="28"/>
          <w:szCs w:val="28"/>
          <w:u w:val="single"/>
          <w:lang w:val="uk-UA" w:eastAsia="uk-UA" w:bidi="mr-IN"/>
        </w:rPr>
        <w:t>%)</w:t>
      </w:r>
      <w:r>
        <w:rPr>
          <w:color w:val="000000"/>
          <w:sz w:val="28"/>
          <w:szCs w:val="28"/>
          <w:lang w:val="uk-UA" w:eastAsia="uk-UA" w:bidi="mr-IN"/>
        </w:rPr>
        <w:t xml:space="preserve"> , </w:t>
      </w:r>
      <w:r w:rsidRPr="00BB11E7">
        <w:rPr>
          <w:color w:val="000000"/>
          <w:sz w:val="28"/>
          <w:szCs w:val="28"/>
          <w:lang w:val="uk-UA" w:eastAsia="uk-UA" w:bidi="mr-IN"/>
        </w:rPr>
        <w:t>за програмою</w:t>
      </w:r>
      <w:r w:rsidRPr="002C5481">
        <w:rPr>
          <w:bCs/>
          <w:sz w:val="28"/>
          <w:szCs w:val="28"/>
          <w:lang w:val="uk-UA"/>
        </w:rPr>
        <w:t xml:space="preserve"> </w:t>
      </w:r>
      <w:r w:rsidRPr="002C5481">
        <w:rPr>
          <w:sz w:val="28"/>
          <w:szCs w:val="28"/>
          <w:lang w:val="uk-UA"/>
        </w:rPr>
        <w:t xml:space="preserve">підтримки та </w:t>
      </w:r>
      <w:r w:rsidRPr="002C5481">
        <w:rPr>
          <w:sz w:val="28"/>
          <w:szCs w:val="28"/>
          <w:shd w:val="clear" w:color="auto" w:fill="FFFFFF"/>
          <w:lang w:val="uk-UA"/>
        </w:rPr>
        <w:t>розвитку вторинної медичної допомоги на території Рожищенської територіальної г</w:t>
      </w:r>
      <w:r w:rsidRPr="008E332E">
        <w:rPr>
          <w:sz w:val="28"/>
          <w:szCs w:val="28"/>
          <w:shd w:val="clear" w:color="auto" w:fill="FFFFFF"/>
          <w:lang w:val="uk-UA"/>
        </w:rPr>
        <w:t>ромади на 202</w:t>
      </w:r>
      <w:r>
        <w:rPr>
          <w:sz w:val="28"/>
          <w:szCs w:val="28"/>
          <w:shd w:val="clear" w:color="auto" w:fill="FFFFFF"/>
          <w:lang w:val="uk-UA"/>
        </w:rPr>
        <w:t>2</w:t>
      </w:r>
      <w:r w:rsidRPr="008E332E">
        <w:rPr>
          <w:sz w:val="28"/>
          <w:szCs w:val="28"/>
          <w:shd w:val="clear" w:color="auto" w:fill="FFFFFF"/>
          <w:lang w:val="uk-UA"/>
        </w:rPr>
        <w:t xml:space="preserve"> рік</w:t>
      </w:r>
      <w:r w:rsidRPr="00BB11E7">
        <w:rPr>
          <w:sz w:val="28"/>
          <w:szCs w:val="28"/>
          <w:shd w:val="clear" w:color="auto" w:fill="FFFFFF"/>
          <w:lang w:val="uk-UA"/>
        </w:rPr>
        <w:t xml:space="preserve"> – </w:t>
      </w:r>
      <w:r>
        <w:rPr>
          <w:sz w:val="28"/>
          <w:szCs w:val="28"/>
          <w:shd w:val="clear" w:color="auto" w:fill="FFFFFF"/>
          <w:lang w:val="uk-UA"/>
        </w:rPr>
        <w:t>2 300 000,0</w:t>
      </w:r>
      <w:r w:rsidRPr="00BB11E7">
        <w:rPr>
          <w:sz w:val="28"/>
          <w:szCs w:val="28"/>
          <w:shd w:val="clear" w:color="auto" w:fill="FFFFFF"/>
          <w:lang w:val="uk-UA"/>
        </w:rPr>
        <w:t xml:space="preserve"> грн.</w:t>
      </w:r>
      <w:r>
        <w:rPr>
          <w:sz w:val="28"/>
          <w:szCs w:val="28"/>
          <w:shd w:val="clear" w:color="auto" w:fill="FFFFFF"/>
          <w:lang w:val="uk-UA"/>
        </w:rPr>
        <w:t xml:space="preserve">, </w:t>
      </w:r>
    </w:p>
    <w:p w:rsidR="00DF3E96" w:rsidRDefault="00DF3E96" w:rsidP="00992642">
      <w:pPr>
        <w:spacing w:after="158"/>
        <w:jc w:val="both"/>
        <w:rPr>
          <w:b/>
          <w:sz w:val="28"/>
          <w:szCs w:val="28"/>
          <w:u w:val="single"/>
          <w:shd w:val="clear" w:color="auto" w:fill="FFFFFF"/>
          <w:lang w:val="uk-UA"/>
        </w:rPr>
      </w:pPr>
      <w:r>
        <w:rPr>
          <w:sz w:val="28"/>
          <w:szCs w:val="28"/>
          <w:shd w:val="clear" w:color="auto" w:fill="FFFFFF"/>
          <w:lang w:val="uk-UA"/>
        </w:rPr>
        <w:t xml:space="preserve">          </w:t>
      </w:r>
      <w:r w:rsidRPr="00BB11E7">
        <w:rPr>
          <w:sz w:val="28"/>
          <w:szCs w:val="28"/>
          <w:shd w:val="clear" w:color="auto" w:fill="FFFFFF"/>
          <w:lang w:val="uk-UA"/>
        </w:rPr>
        <w:t>Інші доходи  (</w:t>
      </w:r>
      <w:r>
        <w:rPr>
          <w:sz w:val="28"/>
          <w:szCs w:val="28"/>
          <w:shd w:val="clear" w:color="auto" w:fill="FFFFFF"/>
          <w:lang w:val="uk-UA"/>
        </w:rPr>
        <w:t xml:space="preserve"> </w:t>
      </w:r>
      <w:r w:rsidRPr="00BB11E7">
        <w:rPr>
          <w:sz w:val="28"/>
          <w:szCs w:val="28"/>
          <w:shd w:val="clear" w:color="auto" w:fill="FFFFFF"/>
          <w:lang w:val="uk-UA"/>
        </w:rPr>
        <w:t>реалізація послуг , оренда активів</w:t>
      </w:r>
      <w:r>
        <w:rPr>
          <w:sz w:val="28"/>
          <w:szCs w:val="28"/>
          <w:shd w:val="clear" w:color="auto" w:fill="FFFFFF"/>
          <w:lang w:val="uk-UA"/>
        </w:rPr>
        <w:t>, інші надходження</w:t>
      </w:r>
      <w:r w:rsidRPr="00BB11E7">
        <w:rPr>
          <w:sz w:val="28"/>
          <w:szCs w:val="28"/>
          <w:shd w:val="clear" w:color="auto" w:fill="FFFFFF"/>
          <w:lang w:val="uk-UA"/>
        </w:rPr>
        <w:t xml:space="preserve">) – </w:t>
      </w:r>
      <w:r w:rsidRPr="0064040D">
        <w:rPr>
          <w:b/>
          <w:sz w:val="28"/>
          <w:szCs w:val="28"/>
          <w:u w:val="single"/>
          <w:shd w:val="clear" w:color="auto" w:fill="FFFFFF"/>
          <w:lang w:val="uk-UA"/>
        </w:rPr>
        <w:t>3</w:t>
      </w:r>
      <w:r>
        <w:rPr>
          <w:b/>
          <w:sz w:val="28"/>
          <w:szCs w:val="28"/>
          <w:u w:val="single"/>
          <w:shd w:val="clear" w:color="auto" w:fill="FFFFFF"/>
          <w:lang w:val="uk-UA"/>
        </w:rPr>
        <w:t>10 034,88</w:t>
      </w:r>
      <w:r w:rsidRPr="0064040D">
        <w:rPr>
          <w:b/>
          <w:sz w:val="28"/>
          <w:szCs w:val="28"/>
          <w:u w:val="single"/>
          <w:shd w:val="clear" w:color="auto" w:fill="FFFFFF"/>
          <w:lang w:val="uk-UA"/>
        </w:rPr>
        <w:t xml:space="preserve"> грн. (2,</w:t>
      </w:r>
      <w:r>
        <w:rPr>
          <w:b/>
          <w:sz w:val="28"/>
          <w:szCs w:val="28"/>
          <w:u w:val="single"/>
          <w:shd w:val="clear" w:color="auto" w:fill="FFFFFF"/>
          <w:lang w:val="uk-UA"/>
        </w:rPr>
        <w:t>3</w:t>
      </w:r>
      <w:r w:rsidRPr="0064040D">
        <w:rPr>
          <w:b/>
          <w:sz w:val="28"/>
          <w:szCs w:val="28"/>
          <w:u w:val="single"/>
          <w:shd w:val="clear" w:color="auto" w:fill="FFFFFF"/>
          <w:lang w:val="uk-UA"/>
        </w:rPr>
        <w:t>%)</w:t>
      </w:r>
    </w:p>
    <w:p w:rsidR="00DF3E96" w:rsidRPr="008C19FD" w:rsidRDefault="00DF3E96" w:rsidP="00992642">
      <w:pPr>
        <w:spacing w:after="158"/>
        <w:jc w:val="center"/>
        <w:rPr>
          <w:b/>
          <w:sz w:val="28"/>
          <w:szCs w:val="28"/>
          <w:u w:val="single"/>
          <w:lang w:val="uk-UA"/>
        </w:rPr>
      </w:pPr>
      <w:r w:rsidRPr="008C19FD">
        <w:rPr>
          <w:b/>
          <w:sz w:val="28"/>
          <w:szCs w:val="28"/>
          <w:u w:val="single"/>
          <w:lang w:val="uk-UA"/>
        </w:rPr>
        <w:t>Надходження і використання коштів за І квартал 2022 року</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1701"/>
        <w:gridCol w:w="1984"/>
        <w:gridCol w:w="1843"/>
        <w:gridCol w:w="1843"/>
      </w:tblGrid>
      <w:tr w:rsidR="00DF3E96" w:rsidRPr="00CB7FD4" w:rsidTr="00297CEF">
        <w:trPr>
          <w:trHeight w:val="945"/>
        </w:trPr>
        <w:tc>
          <w:tcPr>
            <w:tcW w:w="2840" w:type="dxa"/>
            <w:noWrap/>
            <w:vAlign w:val="bottom"/>
          </w:tcPr>
          <w:p w:rsidR="00DF3E96" w:rsidRDefault="00DF3E96" w:rsidP="00297CEF">
            <w:pPr>
              <w:jc w:val="center"/>
              <w:rPr>
                <w:sz w:val="26"/>
                <w:szCs w:val="26"/>
              </w:rPr>
            </w:pPr>
            <w:r>
              <w:rPr>
                <w:sz w:val="26"/>
                <w:szCs w:val="26"/>
                <w:lang w:val="uk-UA"/>
              </w:rPr>
              <w:t>Найменування</w:t>
            </w:r>
          </w:p>
        </w:tc>
        <w:tc>
          <w:tcPr>
            <w:tcW w:w="1701" w:type="dxa"/>
            <w:vAlign w:val="bottom"/>
          </w:tcPr>
          <w:p w:rsidR="00DF3E96" w:rsidRDefault="00DF3E96" w:rsidP="00297CEF">
            <w:pPr>
              <w:jc w:val="center"/>
              <w:rPr>
                <w:sz w:val="26"/>
                <w:szCs w:val="26"/>
              </w:rPr>
            </w:pPr>
            <w:r>
              <w:rPr>
                <w:sz w:val="26"/>
                <w:szCs w:val="26"/>
                <w:lang w:val="uk-UA" w:eastAsia="uk-UA" w:bidi="mr-IN"/>
              </w:rPr>
              <w:t>Залишок коштів на 01.01.2022</w:t>
            </w:r>
          </w:p>
        </w:tc>
        <w:tc>
          <w:tcPr>
            <w:tcW w:w="1984" w:type="dxa"/>
            <w:noWrap/>
            <w:vAlign w:val="bottom"/>
          </w:tcPr>
          <w:p w:rsidR="00DF3E96" w:rsidRDefault="00DF3E96" w:rsidP="00297CEF">
            <w:pPr>
              <w:jc w:val="center"/>
              <w:rPr>
                <w:sz w:val="26"/>
                <w:szCs w:val="26"/>
              </w:rPr>
            </w:pPr>
            <w:r>
              <w:rPr>
                <w:sz w:val="26"/>
                <w:szCs w:val="26"/>
                <w:lang w:val="uk-UA"/>
              </w:rPr>
              <w:t>Надходження коштів</w:t>
            </w:r>
          </w:p>
        </w:tc>
        <w:tc>
          <w:tcPr>
            <w:tcW w:w="1843" w:type="dxa"/>
            <w:noWrap/>
            <w:vAlign w:val="bottom"/>
          </w:tcPr>
          <w:p w:rsidR="00DF3E96" w:rsidRDefault="00DF3E96" w:rsidP="00297CEF">
            <w:pPr>
              <w:jc w:val="center"/>
              <w:rPr>
                <w:sz w:val="26"/>
                <w:szCs w:val="26"/>
              </w:rPr>
            </w:pPr>
            <w:r>
              <w:rPr>
                <w:sz w:val="26"/>
                <w:szCs w:val="26"/>
                <w:lang w:val="uk-UA" w:eastAsia="uk-UA" w:bidi="mr-IN"/>
              </w:rPr>
              <w:t>Використання коштів</w:t>
            </w:r>
          </w:p>
        </w:tc>
        <w:tc>
          <w:tcPr>
            <w:tcW w:w="1843" w:type="dxa"/>
            <w:vAlign w:val="bottom"/>
          </w:tcPr>
          <w:p w:rsidR="00DF3E96" w:rsidRDefault="00DF3E96" w:rsidP="00297CEF">
            <w:pPr>
              <w:jc w:val="center"/>
              <w:rPr>
                <w:sz w:val="26"/>
                <w:szCs w:val="26"/>
              </w:rPr>
            </w:pPr>
            <w:r>
              <w:rPr>
                <w:sz w:val="26"/>
                <w:szCs w:val="26"/>
                <w:lang w:val="uk-UA" w:eastAsia="uk-UA" w:bidi="mr-IN"/>
              </w:rPr>
              <w:t>Залишок коштів на 01.04.2022</w:t>
            </w:r>
          </w:p>
        </w:tc>
      </w:tr>
      <w:tr w:rsidR="00DF3E96" w:rsidRPr="00CB7FD4" w:rsidTr="00297CEF">
        <w:trPr>
          <w:trHeight w:val="330"/>
        </w:trPr>
        <w:tc>
          <w:tcPr>
            <w:tcW w:w="2840" w:type="dxa"/>
            <w:noWrap/>
            <w:vAlign w:val="bottom"/>
          </w:tcPr>
          <w:p w:rsidR="00DF3E96" w:rsidRDefault="00DF3E96" w:rsidP="00297CEF">
            <w:pPr>
              <w:rPr>
                <w:sz w:val="26"/>
                <w:szCs w:val="26"/>
              </w:rPr>
            </w:pPr>
            <w:r>
              <w:rPr>
                <w:sz w:val="26"/>
                <w:szCs w:val="26"/>
                <w:lang w:val="uk-UA" w:eastAsia="uk-UA" w:bidi="mr-IN"/>
              </w:rPr>
              <w:t>Реалізація медичних послуг (НСЗУ)</w:t>
            </w:r>
          </w:p>
        </w:tc>
        <w:tc>
          <w:tcPr>
            <w:tcW w:w="1701" w:type="dxa"/>
            <w:noWrap/>
            <w:vAlign w:val="bottom"/>
          </w:tcPr>
          <w:p w:rsidR="00DF3E96" w:rsidRDefault="00DF3E96" w:rsidP="00297CEF">
            <w:pPr>
              <w:jc w:val="center"/>
              <w:rPr>
                <w:sz w:val="26"/>
                <w:szCs w:val="26"/>
              </w:rPr>
            </w:pPr>
            <w:r>
              <w:rPr>
                <w:sz w:val="26"/>
                <w:szCs w:val="26"/>
                <w:lang w:val="uk-UA" w:eastAsia="uk-UA" w:bidi="mr-IN"/>
              </w:rPr>
              <w:t>4 362 182,30</w:t>
            </w:r>
          </w:p>
        </w:tc>
        <w:tc>
          <w:tcPr>
            <w:tcW w:w="1984" w:type="dxa"/>
            <w:noWrap/>
            <w:vAlign w:val="bottom"/>
          </w:tcPr>
          <w:p w:rsidR="00DF3E96" w:rsidRDefault="00DF3E96" w:rsidP="00297CEF">
            <w:pPr>
              <w:jc w:val="center"/>
              <w:rPr>
                <w:sz w:val="26"/>
                <w:szCs w:val="26"/>
              </w:rPr>
            </w:pPr>
            <w:r>
              <w:rPr>
                <w:sz w:val="26"/>
                <w:szCs w:val="26"/>
              </w:rPr>
              <w:t>11 906 033,81</w:t>
            </w:r>
          </w:p>
        </w:tc>
        <w:tc>
          <w:tcPr>
            <w:tcW w:w="1843" w:type="dxa"/>
            <w:noWrap/>
            <w:vAlign w:val="bottom"/>
          </w:tcPr>
          <w:p w:rsidR="00DF3E96" w:rsidRDefault="00DF3E96" w:rsidP="00297CEF">
            <w:pPr>
              <w:jc w:val="center"/>
              <w:rPr>
                <w:sz w:val="26"/>
                <w:szCs w:val="26"/>
              </w:rPr>
            </w:pPr>
            <w:r>
              <w:rPr>
                <w:sz w:val="26"/>
                <w:szCs w:val="26"/>
              </w:rPr>
              <w:t>11 654 330,89</w:t>
            </w:r>
          </w:p>
        </w:tc>
        <w:tc>
          <w:tcPr>
            <w:tcW w:w="1843" w:type="dxa"/>
            <w:noWrap/>
            <w:vAlign w:val="bottom"/>
          </w:tcPr>
          <w:p w:rsidR="00DF3E96" w:rsidRDefault="00DF3E96" w:rsidP="00297CEF">
            <w:pPr>
              <w:jc w:val="center"/>
              <w:rPr>
                <w:sz w:val="26"/>
                <w:szCs w:val="26"/>
              </w:rPr>
            </w:pPr>
            <w:r>
              <w:rPr>
                <w:sz w:val="26"/>
                <w:szCs w:val="26"/>
              </w:rPr>
              <w:t>4 613 885,22</w:t>
            </w:r>
          </w:p>
        </w:tc>
      </w:tr>
      <w:tr w:rsidR="00DF3E96" w:rsidRPr="00CB7FD4" w:rsidTr="00297CEF">
        <w:trPr>
          <w:trHeight w:val="330"/>
        </w:trPr>
        <w:tc>
          <w:tcPr>
            <w:tcW w:w="2840" w:type="dxa"/>
            <w:noWrap/>
            <w:vAlign w:val="bottom"/>
          </w:tcPr>
          <w:p w:rsidR="00DF3E96" w:rsidRDefault="00DF3E96" w:rsidP="00297CEF">
            <w:pPr>
              <w:rPr>
                <w:sz w:val="26"/>
                <w:szCs w:val="26"/>
              </w:rPr>
            </w:pPr>
            <w:r>
              <w:rPr>
                <w:sz w:val="26"/>
                <w:szCs w:val="26"/>
                <w:lang w:val="uk-UA" w:eastAsia="uk-UA" w:bidi="mr-IN"/>
              </w:rPr>
              <w:t>З міцевого бюджету за цільовими програмами</w:t>
            </w:r>
          </w:p>
        </w:tc>
        <w:tc>
          <w:tcPr>
            <w:tcW w:w="1701" w:type="dxa"/>
            <w:noWrap/>
            <w:vAlign w:val="bottom"/>
          </w:tcPr>
          <w:p w:rsidR="00DF3E96" w:rsidRDefault="00DF3E96" w:rsidP="00297CEF">
            <w:pPr>
              <w:jc w:val="center"/>
              <w:rPr>
                <w:sz w:val="26"/>
                <w:szCs w:val="26"/>
              </w:rPr>
            </w:pPr>
            <w:r>
              <w:rPr>
                <w:sz w:val="26"/>
                <w:szCs w:val="26"/>
                <w:lang w:val="uk-UA" w:eastAsia="uk-UA" w:bidi="mr-IN"/>
              </w:rPr>
              <w:t> </w:t>
            </w:r>
          </w:p>
        </w:tc>
        <w:tc>
          <w:tcPr>
            <w:tcW w:w="1984" w:type="dxa"/>
            <w:noWrap/>
            <w:vAlign w:val="bottom"/>
          </w:tcPr>
          <w:p w:rsidR="00DF3E96" w:rsidRDefault="00DF3E96" w:rsidP="00297CEF">
            <w:pPr>
              <w:jc w:val="center"/>
              <w:rPr>
                <w:sz w:val="26"/>
                <w:szCs w:val="26"/>
              </w:rPr>
            </w:pPr>
            <w:r>
              <w:rPr>
                <w:sz w:val="26"/>
                <w:szCs w:val="26"/>
              </w:rPr>
              <w:t>1 327 844,11</w:t>
            </w:r>
          </w:p>
        </w:tc>
        <w:tc>
          <w:tcPr>
            <w:tcW w:w="1843" w:type="dxa"/>
            <w:noWrap/>
            <w:vAlign w:val="bottom"/>
          </w:tcPr>
          <w:p w:rsidR="00DF3E96" w:rsidRDefault="00DF3E96" w:rsidP="00297CEF">
            <w:pPr>
              <w:jc w:val="center"/>
              <w:rPr>
                <w:sz w:val="26"/>
                <w:szCs w:val="26"/>
              </w:rPr>
            </w:pPr>
            <w:r>
              <w:rPr>
                <w:sz w:val="26"/>
                <w:szCs w:val="26"/>
              </w:rPr>
              <w:t>1 327 844,11</w:t>
            </w:r>
          </w:p>
        </w:tc>
        <w:tc>
          <w:tcPr>
            <w:tcW w:w="1843" w:type="dxa"/>
            <w:noWrap/>
            <w:vAlign w:val="bottom"/>
          </w:tcPr>
          <w:p w:rsidR="00DF3E96" w:rsidRDefault="00DF3E96" w:rsidP="00297CEF">
            <w:pPr>
              <w:jc w:val="center"/>
              <w:rPr>
                <w:sz w:val="26"/>
                <w:szCs w:val="26"/>
              </w:rPr>
            </w:pPr>
            <w:r>
              <w:rPr>
                <w:sz w:val="26"/>
                <w:szCs w:val="26"/>
                <w:lang w:val="uk-UA" w:eastAsia="uk-UA" w:bidi="mr-IN"/>
              </w:rPr>
              <w:t> </w:t>
            </w:r>
          </w:p>
        </w:tc>
      </w:tr>
      <w:tr w:rsidR="00DF3E96" w:rsidRPr="00CB7FD4" w:rsidTr="00297CEF">
        <w:trPr>
          <w:trHeight w:val="330"/>
        </w:trPr>
        <w:tc>
          <w:tcPr>
            <w:tcW w:w="2840" w:type="dxa"/>
            <w:noWrap/>
            <w:vAlign w:val="bottom"/>
          </w:tcPr>
          <w:p w:rsidR="00DF3E96" w:rsidRDefault="00DF3E96" w:rsidP="00297CEF">
            <w:pPr>
              <w:rPr>
                <w:sz w:val="26"/>
                <w:szCs w:val="26"/>
              </w:rPr>
            </w:pPr>
            <w:r>
              <w:rPr>
                <w:sz w:val="26"/>
                <w:szCs w:val="26"/>
                <w:lang w:val="uk-UA" w:eastAsia="uk-UA" w:bidi="mr-IN"/>
              </w:rPr>
              <w:t>Реалізація продукції (товарів, робіт,послуг)</w:t>
            </w:r>
          </w:p>
        </w:tc>
        <w:tc>
          <w:tcPr>
            <w:tcW w:w="1701" w:type="dxa"/>
            <w:noWrap/>
            <w:vAlign w:val="bottom"/>
          </w:tcPr>
          <w:p w:rsidR="00DF3E96" w:rsidRDefault="00DF3E96" w:rsidP="00297CEF">
            <w:pPr>
              <w:jc w:val="center"/>
              <w:rPr>
                <w:sz w:val="26"/>
                <w:szCs w:val="26"/>
              </w:rPr>
            </w:pPr>
            <w:r>
              <w:rPr>
                <w:sz w:val="26"/>
                <w:szCs w:val="26"/>
                <w:lang w:val="uk-UA" w:eastAsia="uk-UA" w:bidi="mr-IN"/>
              </w:rPr>
              <w:t>70 162,51</w:t>
            </w:r>
          </w:p>
        </w:tc>
        <w:tc>
          <w:tcPr>
            <w:tcW w:w="1984" w:type="dxa"/>
            <w:noWrap/>
            <w:vAlign w:val="bottom"/>
          </w:tcPr>
          <w:p w:rsidR="00DF3E96" w:rsidRDefault="00DF3E96" w:rsidP="00297CEF">
            <w:pPr>
              <w:jc w:val="center"/>
              <w:rPr>
                <w:sz w:val="26"/>
                <w:szCs w:val="26"/>
              </w:rPr>
            </w:pPr>
            <w:r>
              <w:rPr>
                <w:sz w:val="26"/>
                <w:szCs w:val="26"/>
              </w:rPr>
              <w:t>126 797,20</w:t>
            </w:r>
          </w:p>
        </w:tc>
        <w:tc>
          <w:tcPr>
            <w:tcW w:w="1843" w:type="dxa"/>
            <w:noWrap/>
            <w:vAlign w:val="bottom"/>
          </w:tcPr>
          <w:p w:rsidR="00DF3E96" w:rsidRDefault="00DF3E96" w:rsidP="00297CEF">
            <w:pPr>
              <w:jc w:val="center"/>
              <w:rPr>
                <w:sz w:val="26"/>
                <w:szCs w:val="26"/>
              </w:rPr>
            </w:pPr>
            <w:r>
              <w:rPr>
                <w:sz w:val="26"/>
                <w:szCs w:val="26"/>
              </w:rPr>
              <w:t>65 577,77</w:t>
            </w:r>
          </w:p>
        </w:tc>
        <w:tc>
          <w:tcPr>
            <w:tcW w:w="1843" w:type="dxa"/>
            <w:noWrap/>
            <w:vAlign w:val="bottom"/>
          </w:tcPr>
          <w:p w:rsidR="00DF3E96" w:rsidRDefault="00DF3E96" w:rsidP="00297CEF">
            <w:pPr>
              <w:jc w:val="center"/>
              <w:rPr>
                <w:sz w:val="26"/>
                <w:szCs w:val="26"/>
              </w:rPr>
            </w:pPr>
            <w:r>
              <w:rPr>
                <w:sz w:val="26"/>
                <w:szCs w:val="26"/>
              </w:rPr>
              <w:t>133 381,94</w:t>
            </w:r>
          </w:p>
        </w:tc>
      </w:tr>
      <w:tr w:rsidR="00DF3E96" w:rsidRPr="00CB7FD4" w:rsidTr="00297CEF">
        <w:trPr>
          <w:trHeight w:val="330"/>
        </w:trPr>
        <w:tc>
          <w:tcPr>
            <w:tcW w:w="2840" w:type="dxa"/>
            <w:noWrap/>
            <w:vAlign w:val="bottom"/>
          </w:tcPr>
          <w:p w:rsidR="00DF3E96" w:rsidRDefault="00DF3E96" w:rsidP="00297CEF">
            <w:pPr>
              <w:rPr>
                <w:sz w:val="26"/>
                <w:szCs w:val="26"/>
              </w:rPr>
            </w:pPr>
            <w:r>
              <w:rPr>
                <w:sz w:val="26"/>
                <w:szCs w:val="26"/>
                <w:lang w:val="uk-UA" w:eastAsia="uk-UA" w:bidi="mr-IN"/>
              </w:rPr>
              <w:t>Реєстраційний внесок</w:t>
            </w:r>
          </w:p>
        </w:tc>
        <w:tc>
          <w:tcPr>
            <w:tcW w:w="1701" w:type="dxa"/>
            <w:noWrap/>
            <w:vAlign w:val="bottom"/>
          </w:tcPr>
          <w:p w:rsidR="00DF3E96" w:rsidRDefault="00DF3E96" w:rsidP="00297CEF">
            <w:pPr>
              <w:jc w:val="center"/>
              <w:rPr>
                <w:sz w:val="26"/>
                <w:szCs w:val="26"/>
              </w:rPr>
            </w:pPr>
          </w:p>
        </w:tc>
        <w:tc>
          <w:tcPr>
            <w:tcW w:w="1984" w:type="dxa"/>
            <w:noWrap/>
            <w:vAlign w:val="bottom"/>
          </w:tcPr>
          <w:p w:rsidR="00DF3E96" w:rsidRDefault="00DF3E96" w:rsidP="00297CEF">
            <w:pPr>
              <w:jc w:val="center"/>
              <w:rPr>
                <w:sz w:val="26"/>
                <w:szCs w:val="26"/>
              </w:rPr>
            </w:pPr>
            <w:r>
              <w:rPr>
                <w:sz w:val="26"/>
                <w:szCs w:val="26"/>
              </w:rPr>
              <w:t>3200,0</w:t>
            </w:r>
          </w:p>
        </w:tc>
        <w:tc>
          <w:tcPr>
            <w:tcW w:w="1843" w:type="dxa"/>
            <w:noWrap/>
            <w:vAlign w:val="bottom"/>
          </w:tcPr>
          <w:p w:rsidR="00DF3E96" w:rsidRDefault="00DF3E96" w:rsidP="00297CEF">
            <w:pPr>
              <w:jc w:val="center"/>
              <w:rPr>
                <w:sz w:val="26"/>
                <w:szCs w:val="26"/>
              </w:rPr>
            </w:pPr>
            <w:r>
              <w:rPr>
                <w:sz w:val="26"/>
                <w:szCs w:val="26"/>
              </w:rPr>
              <w:t>3200,0</w:t>
            </w:r>
          </w:p>
        </w:tc>
        <w:tc>
          <w:tcPr>
            <w:tcW w:w="1843" w:type="dxa"/>
            <w:noWrap/>
            <w:vAlign w:val="bottom"/>
          </w:tcPr>
          <w:p w:rsidR="00DF3E96" w:rsidRDefault="00DF3E96" w:rsidP="00297CEF">
            <w:pPr>
              <w:jc w:val="center"/>
              <w:rPr>
                <w:sz w:val="26"/>
                <w:szCs w:val="26"/>
              </w:rPr>
            </w:pPr>
            <w:r>
              <w:rPr>
                <w:sz w:val="26"/>
                <w:szCs w:val="26"/>
                <w:lang w:val="uk-UA" w:eastAsia="uk-UA" w:bidi="mr-IN"/>
              </w:rPr>
              <w:t> </w:t>
            </w:r>
          </w:p>
        </w:tc>
      </w:tr>
      <w:tr w:rsidR="00DF3E96" w:rsidRPr="00CB7FD4" w:rsidTr="00297CEF">
        <w:trPr>
          <w:trHeight w:val="330"/>
        </w:trPr>
        <w:tc>
          <w:tcPr>
            <w:tcW w:w="2840" w:type="dxa"/>
            <w:vAlign w:val="bottom"/>
          </w:tcPr>
          <w:p w:rsidR="00DF3E96" w:rsidRDefault="00DF3E96" w:rsidP="00297CEF">
            <w:pPr>
              <w:rPr>
                <w:sz w:val="26"/>
                <w:szCs w:val="26"/>
              </w:rPr>
            </w:pPr>
            <w:r>
              <w:rPr>
                <w:sz w:val="26"/>
                <w:szCs w:val="26"/>
                <w:lang w:val="uk-UA" w:eastAsia="uk-UA" w:bidi="mr-IN"/>
              </w:rPr>
              <w:t>Операційна оренда активів</w:t>
            </w:r>
          </w:p>
        </w:tc>
        <w:tc>
          <w:tcPr>
            <w:tcW w:w="1701" w:type="dxa"/>
            <w:noWrap/>
            <w:vAlign w:val="bottom"/>
          </w:tcPr>
          <w:p w:rsidR="00DF3E96" w:rsidRDefault="00DF3E96" w:rsidP="00297CEF">
            <w:pPr>
              <w:jc w:val="center"/>
              <w:rPr>
                <w:sz w:val="26"/>
                <w:szCs w:val="26"/>
              </w:rPr>
            </w:pPr>
            <w:r>
              <w:rPr>
                <w:sz w:val="26"/>
                <w:szCs w:val="26"/>
                <w:lang w:val="uk-UA" w:eastAsia="uk-UA" w:bidi="mr-IN"/>
              </w:rPr>
              <w:t>100 358,74</w:t>
            </w:r>
          </w:p>
        </w:tc>
        <w:tc>
          <w:tcPr>
            <w:tcW w:w="1984" w:type="dxa"/>
            <w:noWrap/>
            <w:vAlign w:val="bottom"/>
          </w:tcPr>
          <w:p w:rsidR="00DF3E96" w:rsidRDefault="00DF3E96" w:rsidP="00297CEF">
            <w:pPr>
              <w:jc w:val="center"/>
              <w:rPr>
                <w:sz w:val="26"/>
                <w:szCs w:val="26"/>
              </w:rPr>
            </w:pPr>
            <w:r>
              <w:rPr>
                <w:sz w:val="26"/>
                <w:szCs w:val="26"/>
              </w:rPr>
              <w:t>178 946,11</w:t>
            </w:r>
          </w:p>
        </w:tc>
        <w:tc>
          <w:tcPr>
            <w:tcW w:w="1843" w:type="dxa"/>
            <w:noWrap/>
            <w:vAlign w:val="bottom"/>
          </w:tcPr>
          <w:p w:rsidR="00DF3E96" w:rsidRDefault="00DF3E96" w:rsidP="00297CEF">
            <w:pPr>
              <w:jc w:val="center"/>
              <w:rPr>
                <w:sz w:val="26"/>
                <w:szCs w:val="26"/>
              </w:rPr>
            </w:pPr>
            <w:r>
              <w:rPr>
                <w:sz w:val="26"/>
                <w:szCs w:val="26"/>
              </w:rPr>
              <w:t>198 291,89</w:t>
            </w:r>
          </w:p>
        </w:tc>
        <w:tc>
          <w:tcPr>
            <w:tcW w:w="1843" w:type="dxa"/>
            <w:noWrap/>
            <w:vAlign w:val="bottom"/>
          </w:tcPr>
          <w:p w:rsidR="00DF3E96" w:rsidRDefault="00DF3E96" w:rsidP="00297CEF">
            <w:pPr>
              <w:jc w:val="center"/>
              <w:rPr>
                <w:sz w:val="26"/>
                <w:szCs w:val="26"/>
              </w:rPr>
            </w:pPr>
            <w:r>
              <w:rPr>
                <w:sz w:val="26"/>
                <w:szCs w:val="26"/>
              </w:rPr>
              <w:t>81 012,96</w:t>
            </w:r>
          </w:p>
        </w:tc>
      </w:tr>
      <w:tr w:rsidR="00DF3E96" w:rsidRPr="00CB7FD4" w:rsidTr="00297CEF">
        <w:trPr>
          <w:trHeight w:val="608"/>
        </w:trPr>
        <w:tc>
          <w:tcPr>
            <w:tcW w:w="2840" w:type="dxa"/>
            <w:noWrap/>
            <w:vAlign w:val="bottom"/>
          </w:tcPr>
          <w:p w:rsidR="00DF3E96" w:rsidRDefault="00DF3E96" w:rsidP="00297CEF">
            <w:pPr>
              <w:rPr>
                <w:sz w:val="26"/>
                <w:szCs w:val="26"/>
              </w:rPr>
            </w:pPr>
            <w:r>
              <w:rPr>
                <w:sz w:val="26"/>
                <w:szCs w:val="26"/>
                <w:lang w:val="uk-UA" w:eastAsia="uk-UA" w:bidi="mr-IN"/>
              </w:rPr>
              <w:t>Виплата відсотків згідно депозиту</w:t>
            </w:r>
          </w:p>
        </w:tc>
        <w:tc>
          <w:tcPr>
            <w:tcW w:w="1701" w:type="dxa"/>
            <w:noWrap/>
            <w:vAlign w:val="bottom"/>
          </w:tcPr>
          <w:p w:rsidR="00DF3E96" w:rsidRDefault="00DF3E96" w:rsidP="00297CEF">
            <w:pPr>
              <w:jc w:val="center"/>
              <w:rPr>
                <w:sz w:val="26"/>
                <w:szCs w:val="26"/>
              </w:rPr>
            </w:pPr>
            <w:r>
              <w:rPr>
                <w:sz w:val="26"/>
                <w:szCs w:val="26"/>
                <w:lang w:val="uk-UA" w:eastAsia="uk-UA" w:bidi="mr-IN"/>
              </w:rPr>
              <w:t> </w:t>
            </w:r>
          </w:p>
        </w:tc>
        <w:tc>
          <w:tcPr>
            <w:tcW w:w="1984" w:type="dxa"/>
            <w:noWrap/>
            <w:vAlign w:val="bottom"/>
          </w:tcPr>
          <w:p w:rsidR="00DF3E96" w:rsidRDefault="00DF3E96" w:rsidP="00297CEF">
            <w:pPr>
              <w:jc w:val="center"/>
              <w:rPr>
                <w:sz w:val="26"/>
                <w:szCs w:val="26"/>
              </w:rPr>
            </w:pPr>
            <w:r>
              <w:rPr>
                <w:sz w:val="26"/>
                <w:szCs w:val="26"/>
              </w:rPr>
              <w:t>1091,57</w:t>
            </w:r>
          </w:p>
        </w:tc>
        <w:tc>
          <w:tcPr>
            <w:tcW w:w="1843" w:type="dxa"/>
            <w:noWrap/>
            <w:vAlign w:val="bottom"/>
          </w:tcPr>
          <w:p w:rsidR="00DF3E96" w:rsidRDefault="00DF3E96" w:rsidP="00297CEF">
            <w:pPr>
              <w:jc w:val="center"/>
              <w:rPr>
                <w:sz w:val="26"/>
                <w:szCs w:val="26"/>
              </w:rPr>
            </w:pPr>
            <w:r>
              <w:rPr>
                <w:sz w:val="26"/>
                <w:szCs w:val="26"/>
              </w:rPr>
              <w:t>1091,57</w:t>
            </w:r>
          </w:p>
        </w:tc>
        <w:tc>
          <w:tcPr>
            <w:tcW w:w="1843" w:type="dxa"/>
            <w:noWrap/>
            <w:vAlign w:val="bottom"/>
          </w:tcPr>
          <w:p w:rsidR="00DF3E96" w:rsidRDefault="00DF3E96" w:rsidP="00297CEF">
            <w:pPr>
              <w:jc w:val="center"/>
              <w:rPr>
                <w:sz w:val="26"/>
                <w:szCs w:val="26"/>
              </w:rPr>
            </w:pPr>
            <w:r>
              <w:rPr>
                <w:sz w:val="26"/>
                <w:szCs w:val="26"/>
                <w:lang w:val="uk-UA" w:eastAsia="uk-UA" w:bidi="mr-IN"/>
              </w:rPr>
              <w:t> </w:t>
            </w:r>
          </w:p>
        </w:tc>
      </w:tr>
      <w:tr w:rsidR="00DF3E96" w:rsidRPr="00CB7FD4" w:rsidTr="00297CEF">
        <w:trPr>
          <w:trHeight w:val="608"/>
        </w:trPr>
        <w:tc>
          <w:tcPr>
            <w:tcW w:w="2840" w:type="dxa"/>
            <w:noWrap/>
            <w:vAlign w:val="bottom"/>
          </w:tcPr>
          <w:p w:rsidR="00DF3E96" w:rsidRDefault="00DF3E96" w:rsidP="00297CEF">
            <w:pPr>
              <w:rPr>
                <w:b/>
                <w:bCs/>
                <w:sz w:val="26"/>
                <w:szCs w:val="26"/>
              </w:rPr>
            </w:pPr>
            <w:r>
              <w:rPr>
                <w:b/>
                <w:bCs/>
                <w:sz w:val="26"/>
                <w:szCs w:val="26"/>
                <w:lang w:val="uk-UA" w:eastAsia="uk-UA" w:bidi="mr-IN"/>
              </w:rPr>
              <w:t>Разом</w:t>
            </w:r>
          </w:p>
        </w:tc>
        <w:tc>
          <w:tcPr>
            <w:tcW w:w="1701" w:type="dxa"/>
            <w:noWrap/>
            <w:vAlign w:val="bottom"/>
          </w:tcPr>
          <w:p w:rsidR="00DF3E96" w:rsidRDefault="00DF3E96" w:rsidP="00297CEF">
            <w:pPr>
              <w:jc w:val="center"/>
              <w:rPr>
                <w:b/>
                <w:bCs/>
                <w:sz w:val="26"/>
                <w:szCs w:val="26"/>
              </w:rPr>
            </w:pPr>
            <w:r>
              <w:rPr>
                <w:b/>
                <w:bCs/>
                <w:sz w:val="26"/>
                <w:szCs w:val="26"/>
                <w:lang w:val="uk-UA" w:eastAsia="uk-UA" w:bidi="mr-IN"/>
              </w:rPr>
              <w:t>4 534 703,55</w:t>
            </w:r>
          </w:p>
        </w:tc>
        <w:tc>
          <w:tcPr>
            <w:tcW w:w="1984" w:type="dxa"/>
            <w:noWrap/>
            <w:vAlign w:val="bottom"/>
          </w:tcPr>
          <w:p w:rsidR="00DF3E96" w:rsidRDefault="00DF3E96" w:rsidP="00297CEF">
            <w:pPr>
              <w:jc w:val="center"/>
              <w:rPr>
                <w:b/>
                <w:bCs/>
                <w:sz w:val="26"/>
                <w:szCs w:val="26"/>
              </w:rPr>
            </w:pPr>
            <w:r>
              <w:rPr>
                <w:b/>
                <w:bCs/>
                <w:sz w:val="26"/>
                <w:szCs w:val="26"/>
              </w:rPr>
              <w:t>13 543 912,80</w:t>
            </w:r>
          </w:p>
        </w:tc>
        <w:tc>
          <w:tcPr>
            <w:tcW w:w="1843" w:type="dxa"/>
            <w:noWrap/>
            <w:vAlign w:val="bottom"/>
          </w:tcPr>
          <w:p w:rsidR="00DF3E96" w:rsidRDefault="00DF3E96" w:rsidP="00297CEF">
            <w:pPr>
              <w:jc w:val="center"/>
              <w:rPr>
                <w:b/>
                <w:bCs/>
                <w:sz w:val="26"/>
                <w:szCs w:val="26"/>
              </w:rPr>
            </w:pPr>
            <w:r>
              <w:rPr>
                <w:b/>
                <w:bCs/>
                <w:sz w:val="26"/>
                <w:szCs w:val="26"/>
              </w:rPr>
              <w:t>13 250 336,23</w:t>
            </w:r>
          </w:p>
        </w:tc>
        <w:tc>
          <w:tcPr>
            <w:tcW w:w="1843" w:type="dxa"/>
            <w:noWrap/>
            <w:vAlign w:val="bottom"/>
          </w:tcPr>
          <w:p w:rsidR="00DF3E96" w:rsidRDefault="00DF3E96" w:rsidP="00297CEF">
            <w:pPr>
              <w:jc w:val="center"/>
              <w:rPr>
                <w:b/>
                <w:bCs/>
                <w:sz w:val="26"/>
                <w:szCs w:val="26"/>
              </w:rPr>
            </w:pPr>
            <w:r>
              <w:rPr>
                <w:b/>
                <w:bCs/>
                <w:sz w:val="26"/>
                <w:szCs w:val="26"/>
              </w:rPr>
              <w:t>4 828 280,12</w:t>
            </w:r>
          </w:p>
        </w:tc>
      </w:tr>
    </w:tbl>
    <w:p w:rsidR="00DF3E96" w:rsidRPr="008C19FD" w:rsidRDefault="00DF3E96" w:rsidP="00992642">
      <w:pPr>
        <w:jc w:val="both"/>
        <w:rPr>
          <w:b/>
          <w:color w:val="000000"/>
          <w:sz w:val="28"/>
          <w:szCs w:val="28"/>
          <w:lang w:val="uk-UA"/>
        </w:rPr>
      </w:pPr>
      <w:r w:rsidRPr="008C19FD">
        <w:rPr>
          <w:b/>
          <w:color w:val="000000"/>
          <w:sz w:val="28"/>
          <w:szCs w:val="28"/>
          <w:lang w:val="uk-UA"/>
        </w:rPr>
        <w:t>Всього надходження коштів у І кварталі 2022 року складають 13 543 912,80 грн.</w:t>
      </w:r>
    </w:p>
    <w:p w:rsidR="00DF3E96" w:rsidRPr="008C19FD" w:rsidRDefault="00DF3E96" w:rsidP="00992642">
      <w:pPr>
        <w:pStyle w:val="ListParagraph"/>
        <w:ind w:left="0"/>
        <w:jc w:val="center"/>
        <w:rPr>
          <w:b/>
          <w:bCs/>
          <w:sz w:val="28"/>
          <w:szCs w:val="28"/>
          <w:u w:val="single"/>
          <w:lang w:val="uk-UA"/>
        </w:rPr>
      </w:pPr>
    </w:p>
    <w:p w:rsidR="00DF3E96" w:rsidRPr="008C19FD" w:rsidRDefault="00DF3E96" w:rsidP="00992642">
      <w:pPr>
        <w:pStyle w:val="ListParagraph"/>
        <w:ind w:left="0"/>
        <w:jc w:val="center"/>
        <w:rPr>
          <w:b/>
          <w:bCs/>
          <w:sz w:val="28"/>
          <w:szCs w:val="28"/>
          <w:u w:val="single"/>
          <w:lang w:val="uk-UA"/>
        </w:rPr>
      </w:pPr>
      <w:r w:rsidRPr="008C19FD">
        <w:rPr>
          <w:b/>
          <w:bCs/>
          <w:sz w:val="28"/>
          <w:szCs w:val="28"/>
          <w:u w:val="single"/>
          <w:lang w:val="uk-UA"/>
        </w:rPr>
        <w:t>Використання коштів у 2022 році за найменуваннями та джерелами фінансування</w:t>
      </w:r>
    </w:p>
    <w:tbl>
      <w:tblPr>
        <w:tblW w:w="10505" w:type="dxa"/>
        <w:tblInd w:w="93" w:type="dxa"/>
        <w:tblLayout w:type="fixed"/>
        <w:tblLook w:val="00A0"/>
      </w:tblPr>
      <w:tblGrid>
        <w:gridCol w:w="3417"/>
        <w:gridCol w:w="756"/>
        <w:gridCol w:w="1654"/>
        <w:gridCol w:w="1701"/>
        <w:gridCol w:w="1417"/>
        <w:gridCol w:w="1560"/>
      </w:tblGrid>
      <w:tr w:rsidR="00DF3E96" w:rsidRPr="00827CFB" w:rsidTr="00297CEF">
        <w:trPr>
          <w:trHeight w:val="945"/>
        </w:trPr>
        <w:tc>
          <w:tcPr>
            <w:tcW w:w="3417" w:type="dxa"/>
            <w:tcBorders>
              <w:top w:val="single" w:sz="4" w:space="0" w:color="auto"/>
              <w:left w:val="single" w:sz="4" w:space="0" w:color="auto"/>
              <w:bottom w:val="single" w:sz="4" w:space="0" w:color="auto"/>
              <w:right w:val="single" w:sz="4" w:space="0" w:color="auto"/>
            </w:tcBorders>
            <w:noWrap/>
            <w:vAlign w:val="center"/>
          </w:tcPr>
          <w:p w:rsidR="00DF3E96" w:rsidRPr="00827CFB" w:rsidRDefault="00DF3E96" w:rsidP="00297CEF">
            <w:pPr>
              <w:jc w:val="center"/>
              <w:rPr>
                <w:bCs/>
                <w:sz w:val="26"/>
                <w:szCs w:val="26"/>
              </w:rPr>
            </w:pPr>
            <w:r w:rsidRPr="00827CFB">
              <w:rPr>
                <w:bCs/>
                <w:sz w:val="26"/>
                <w:szCs w:val="26"/>
              </w:rPr>
              <w:t>Найменування</w:t>
            </w:r>
          </w:p>
        </w:tc>
        <w:tc>
          <w:tcPr>
            <w:tcW w:w="756" w:type="dxa"/>
            <w:tcBorders>
              <w:top w:val="single" w:sz="4" w:space="0" w:color="auto"/>
              <w:left w:val="nil"/>
              <w:bottom w:val="single" w:sz="4" w:space="0" w:color="auto"/>
              <w:right w:val="single" w:sz="4" w:space="0" w:color="auto"/>
            </w:tcBorders>
            <w:noWrap/>
            <w:vAlign w:val="center"/>
          </w:tcPr>
          <w:p w:rsidR="00DF3E96" w:rsidRPr="00827CFB" w:rsidRDefault="00DF3E96" w:rsidP="00297CEF">
            <w:pPr>
              <w:jc w:val="center"/>
              <w:rPr>
                <w:bCs/>
                <w:sz w:val="26"/>
                <w:szCs w:val="26"/>
              </w:rPr>
            </w:pPr>
            <w:r w:rsidRPr="00827CFB">
              <w:rPr>
                <w:bCs/>
                <w:sz w:val="26"/>
                <w:szCs w:val="26"/>
              </w:rPr>
              <w:t>%</w:t>
            </w:r>
          </w:p>
        </w:tc>
        <w:tc>
          <w:tcPr>
            <w:tcW w:w="1654" w:type="dxa"/>
            <w:tcBorders>
              <w:top w:val="single" w:sz="4" w:space="0" w:color="auto"/>
              <w:left w:val="nil"/>
              <w:bottom w:val="single" w:sz="4" w:space="0" w:color="auto"/>
              <w:right w:val="single" w:sz="4" w:space="0" w:color="auto"/>
            </w:tcBorders>
            <w:noWrap/>
            <w:vAlign w:val="center"/>
          </w:tcPr>
          <w:p w:rsidR="00DF3E96" w:rsidRPr="00827CFB" w:rsidRDefault="00DF3E96" w:rsidP="00297CEF">
            <w:pPr>
              <w:jc w:val="center"/>
              <w:rPr>
                <w:bCs/>
                <w:sz w:val="26"/>
                <w:szCs w:val="26"/>
              </w:rPr>
            </w:pPr>
            <w:r w:rsidRPr="00827CFB">
              <w:rPr>
                <w:bCs/>
                <w:sz w:val="26"/>
                <w:szCs w:val="26"/>
              </w:rPr>
              <w:t>Всього</w:t>
            </w:r>
          </w:p>
        </w:tc>
        <w:tc>
          <w:tcPr>
            <w:tcW w:w="1701" w:type="dxa"/>
            <w:tcBorders>
              <w:top w:val="single" w:sz="4" w:space="0" w:color="auto"/>
              <w:left w:val="nil"/>
              <w:bottom w:val="single" w:sz="4" w:space="0" w:color="auto"/>
              <w:right w:val="single" w:sz="4" w:space="0" w:color="auto"/>
            </w:tcBorders>
            <w:vAlign w:val="center"/>
          </w:tcPr>
          <w:p w:rsidR="00DF3E96" w:rsidRPr="00827CFB" w:rsidRDefault="00DF3E96" w:rsidP="00297CEF">
            <w:pPr>
              <w:jc w:val="center"/>
              <w:rPr>
                <w:bCs/>
                <w:sz w:val="26"/>
                <w:szCs w:val="26"/>
              </w:rPr>
            </w:pPr>
            <w:r w:rsidRPr="00827CFB">
              <w:rPr>
                <w:bCs/>
                <w:sz w:val="26"/>
                <w:szCs w:val="26"/>
              </w:rPr>
              <w:t>НСЗУ</w:t>
            </w:r>
          </w:p>
        </w:tc>
        <w:tc>
          <w:tcPr>
            <w:tcW w:w="1417" w:type="dxa"/>
            <w:tcBorders>
              <w:top w:val="single" w:sz="4" w:space="0" w:color="auto"/>
              <w:left w:val="nil"/>
              <w:bottom w:val="single" w:sz="4" w:space="0" w:color="auto"/>
              <w:right w:val="single" w:sz="4" w:space="0" w:color="auto"/>
            </w:tcBorders>
            <w:vAlign w:val="center"/>
          </w:tcPr>
          <w:p w:rsidR="00DF3E96" w:rsidRPr="00827CFB" w:rsidRDefault="00DF3E96" w:rsidP="00297CEF">
            <w:pPr>
              <w:jc w:val="center"/>
              <w:rPr>
                <w:bCs/>
                <w:sz w:val="26"/>
                <w:szCs w:val="26"/>
              </w:rPr>
            </w:pPr>
            <w:r w:rsidRPr="00827CFB">
              <w:rPr>
                <w:bCs/>
                <w:sz w:val="26"/>
                <w:szCs w:val="26"/>
              </w:rPr>
              <w:t xml:space="preserve">Реалізація послуг, оренда </w:t>
            </w:r>
          </w:p>
        </w:tc>
        <w:tc>
          <w:tcPr>
            <w:tcW w:w="1560" w:type="dxa"/>
            <w:tcBorders>
              <w:top w:val="single" w:sz="4" w:space="0" w:color="auto"/>
              <w:left w:val="nil"/>
              <w:bottom w:val="single" w:sz="4" w:space="0" w:color="auto"/>
              <w:right w:val="single" w:sz="4" w:space="0" w:color="auto"/>
            </w:tcBorders>
            <w:vAlign w:val="center"/>
          </w:tcPr>
          <w:p w:rsidR="00DF3E96" w:rsidRPr="00827CFB" w:rsidRDefault="00DF3E96" w:rsidP="00297CEF">
            <w:pPr>
              <w:jc w:val="center"/>
              <w:rPr>
                <w:bCs/>
                <w:color w:val="000000"/>
                <w:sz w:val="26"/>
                <w:szCs w:val="26"/>
              </w:rPr>
            </w:pPr>
            <w:r w:rsidRPr="00827CFB">
              <w:rPr>
                <w:bCs/>
                <w:color w:val="000000"/>
                <w:sz w:val="26"/>
                <w:szCs w:val="26"/>
              </w:rPr>
              <w:t xml:space="preserve">Міцевий бюджет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Заробітна плата</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64,4</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8 528 917,33</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8 528 917,33</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Нарахування на оплату праці</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13,7</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1 818 601,60</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1 818 601,60</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560" w:type="dxa"/>
            <w:tcBorders>
              <w:top w:val="nil"/>
              <w:left w:val="nil"/>
              <w:bottom w:val="single" w:sz="4" w:space="0" w:color="auto"/>
              <w:right w:val="single" w:sz="4" w:space="0" w:color="auto"/>
            </w:tcBorders>
            <w:vAlign w:val="bottom"/>
          </w:tcPr>
          <w:p w:rsidR="00DF3E96" w:rsidRPr="00827CFB" w:rsidRDefault="00DF3E96" w:rsidP="00A97130">
            <w:pPr>
              <w:ind w:right="182"/>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Соціальне забезпечення</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0,1</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13 686,84</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13 686,84</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Лікарські засоби</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4,5</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594 467,46</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594 467,46</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Вироби мед</w:t>
            </w:r>
            <w:r>
              <w:t>.</w:t>
            </w:r>
            <w:r w:rsidRPr="00827CFB">
              <w:t xml:space="preserve"> призначення</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1,5</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192 954,30</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192 954,30</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Дезинфекційні засоби</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0,3</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34 185,00</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34 185,00</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Продукти харчування</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0,6</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84 523,03</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84 523,03</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 xml:space="preserve">Предмети, матеріали </w:t>
            </w:r>
            <w:r>
              <w:t>,інвентар</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1,0</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127 218,15</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121 266,15</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5 952,00</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Паливно-мастильні матеріали</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0,6</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80 000,00</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80 000,00</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Оплата комунальних послуг та інших  енергоносіїв</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11,3</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1 502 340,00</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174 495,89</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1 327 844,11</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М’який інвентар</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0,2</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29 550,00</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29 550,00</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 xml:space="preserve">Інші операційні витрати </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1,2</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155 070,23</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154 720,73</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349,50</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Поповнення ел</w:t>
            </w:r>
            <w:r>
              <w:t>.</w:t>
            </w:r>
            <w:r w:rsidRPr="00827CFB">
              <w:t>рахунку для сплати ПДВ</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0,4</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59 100,00</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59 100,00</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Видатки на відрядження</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0,0</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0,00</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r w:rsidRPr="00827CFB">
              <w:t>Інші видатки</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0,1</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8 982,27</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 </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pPr>
            <w:r w:rsidRPr="00827CFB">
              <w:t>8 982,27</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color w:val="000000"/>
              </w:rPr>
            </w:pPr>
            <w:r w:rsidRPr="00827CFB">
              <w:rPr>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pPr>
              <w:rPr>
                <w:b/>
                <w:bCs/>
              </w:rPr>
            </w:pPr>
            <w:r w:rsidRPr="00827CFB">
              <w:rPr>
                <w:b/>
                <w:bCs/>
              </w:rPr>
              <w:t>Інші необоротні матеріальні активи</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0,2</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20 740,02</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rPr>
                <w:b/>
                <w:bCs/>
              </w:rPr>
            </w:pPr>
            <w:r w:rsidRPr="00827CFB">
              <w:rPr>
                <w:b/>
                <w:bCs/>
              </w:rPr>
              <w:t>2 550,02</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rPr>
                <w:b/>
                <w:bCs/>
              </w:rPr>
            </w:pPr>
            <w:r w:rsidRPr="00827CFB">
              <w:rPr>
                <w:b/>
                <w:bCs/>
              </w:rPr>
              <w:t>18 190,00</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b/>
                <w:bCs/>
                <w:color w:val="000000"/>
              </w:rPr>
            </w:pPr>
            <w:r w:rsidRPr="00827CFB">
              <w:rPr>
                <w:b/>
                <w:bCs/>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pPr>
              <w:rPr>
                <w:b/>
                <w:bCs/>
              </w:rPr>
            </w:pPr>
            <w:r w:rsidRPr="00827CFB">
              <w:rPr>
                <w:b/>
                <w:bCs/>
              </w:rPr>
              <w:t>Основні засоби</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rPr>
                <w:sz w:val="22"/>
                <w:szCs w:val="22"/>
              </w:rPr>
              <w:t>0,0</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pPr>
            <w:r w:rsidRPr="00827CFB">
              <w:t>0,00</w:t>
            </w:r>
          </w:p>
        </w:tc>
        <w:tc>
          <w:tcPr>
            <w:tcW w:w="1701" w:type="dxa"/>
            <w:tcBorders>
              <w:top w:val="nil"/>
              <w:left w:val="nil"/>
              <w:bottom w:val="single" w:sz="4" w:space="0" w:color="auto"/>
              <w:right w:val="single" w:sz="4" w:space="0" w:color="auto"/>
            </w:tcBorders>
            <w:vAlign w:val="bottom"/>
          </w:tcPr>
          <w:p w:rsidR="00DF3E96" w:rsidRPr="00827CFB" w:rsidRDefault="00DF3E96" w:rsidP="00297CEF">
            <w:pPr>
              <w:jc w:val="center"/>
              <w:rPr>
                <w:b/>
                <w:bCs/>
              </w:rPr>
            </w:pPr>
            <w:r w:rsidRPr="00827CFB">
              <w:rPr>
                <w:b/>
                <w:bCs/>
              </w:rPr>
              <w:t> </w:t>
            </w:r>
          </w:p>
        </w:tc>
        <w:tc>
          <w:tcPr>
            <w:tcW w:w="1417" w:type="dxa"/>
            <w:tcBorders>
              <w:top w:val="nil"/>
              <w:left w:val="nil"/>
              <w:bottom w:val="single" w:sz="4" w:space="0" w:color="auto"/>
              <w:right w:val="single" w:sz="4" w:space="0" w:color="auto"/>
            </w:tcBorders>
            <w:vAlign w:val="bottom"/>
          </w:tcPr>
          <w:p w:rsidR="00DF3E96" w:rsidRPr="00827CFB" w:rsidRDefault="00DF3E96" w:rsidP="00297CEF">
            <w:pPr>
              <w:jc w:val="center"/>
              <w:rPr>
                <w:b/>
                <w:bCs/>
              </w:rPr>
            </w:pPr>
            <w:r w:rsidRPr="00827CFB">
              <w:rPr>
                <w:b/>
                <w:bCs/>
              </w:rPr>
              <w:t> </w:t>
            </w:r>
          </w:p>
        </w:tc>
        <w:tc>
          <w:tcPr>
            <w:tcW w:w="1560" w:type="dxa"/>
            <w:tcBorders>
              <w:top w:val="nil"/>
              <w:left w:val="nil"/>
              <w:bottom w:val="single" w:sz="4" w:space="0" w:color="auto"/>
              <w:right w:val="single" w:sz="4" w:space="0" w:color="auto"/>
            </w:tcBorders>
            <w:vAlign w:val="bottom"/>
          </w:tcPr>
          <w:p w:rsidR="00DF3E96" w:rsidRPr="00827CFB" w:rsidRDefault="00DF3E96" w:rsidP="00297CEF">
            <w:pPr>
              <w:jc w:val="center"/>
              <w:rPr>
                <w:b/>
                <w:bCs/>
                <w:color w:val="000000"/>
              </w:rPr>
            </w:pPr>
            <w:r w:rsidRPr="00827CFB">
              <w:rPr>
                <w:b/>
                <w:bCs/>
                <w:color w:val="000000"/>
              </w:rPr>
              <w:t> </w:t>
            </w:r>
          </w:p>
        </w:tc>
      </w:tr>
      <w:tr w:rsidR="00DF3E96" w:rsidRPr="00827CFB" w:rsidTr="00297CEF">
        <w:trPr>
          <w:trHeight w:val="315"/>
        </w:trPr>
        <w:tc>
          <w:tcPr>
            <w:tcW w:w="3417" w:type="dxa"/>
            <w:tcBorders>
              <w:top w:val="nil"/>
              <w:left w:val="single" w:sz="4" w:space="0" w:color="auto"/>
              <w:bottom w:val="single" w:sz="4" w:space="0" w:color="auto"/>
              <w:right w:val="single" w:sz="4" w:space="0" w:color="auto"/>
            </w:tcBorders>
            <w:noWrap/>
            <w:vAlign w:val="bottom"/>
          </w:tcPr>
          <w:p w:rsidR="00DF3E96" w:rsidRPr="00827CFB" w:rsidRDefault="00DF3E96" w:rsidP="00297CEF">
            <w:pPr>
              <w:rPr>
                <w:b/>
                <w:bCs/>
              </w:rPr>
            </w:pPr>
            <w:r w:rsidRPr="00827CFB">
              <w:rPr>
                <w:b/>
                <w:bCs/>
              </w:rPr>
              <w:t>Разом</w:t>
            </w:r>
          </w:p>
        </w:tc>
        <w:tc>
          <w:tcPr>
            <w:tcW w:w="756" w:type="dxa"/>
            <w:tcBorders>
              <w:top w:val="nil"/>
              <w:left w:val="nil"/>
              <w:bottom w:val="single" w:sz="4" w:space="0" w:color="auto"/>
              <w:right w:val="single" w:sz="4" w:space="0" w:color="auto"/>
            </w:tcBorders>
            <w:noWrap/>
            <w:vAlign w:val="bottom"/>
          </w:tcPr>
          <w:p w:rsidR="00DF3E96" w:rsidRPr="00827CFB" w:rsidRDefault="00DF3E96" w:rsidP="00297CEF">
            <w:pPr>
              <w:jc w:val="center"/>
              <w:rPr>
                <w:b/>
                <w:bCs/>
              </w:rPr>
            </w:pPr>
            <w:r w:rsidRPr="00827CFB">
              <w:rPr>
                <w:b/>
                <w:bCs/>
              </w:rPr>
              <w:t>100,0</w:t>
            </w:r>
          </w:p>
        </w:tc>
        <w:tc>
          <w:tcPr>
            <w:tcW w:w="1654" w:type="dxa"/>
            <w:tcBorders>
              <w:top w:val="nil"/>
              <w:left w:val="nil"/>
              <w:bottom w:val="single" w:sz="4" w:space="0" w:color="auto"/>
              <w:right w:val="single" w:sz="4" w:space="0" w:color="auto"/>
            </w:tcBorders>
            <w:noWrap/>
            <w:vAlign w:val="bottom"/>
          </w:tcPr>
          <w:p w:rsidR="00DF3E96" w:rsidRPr="00827CFB" w:rsidRDefault="00DF3E96" w:rsidP="00297CEF">
            <w:pPr>
              <w:jc w:val="center"/>
              <w:rPr>
                <w:b/>
                <w:bCs/>
              </w:rPr>
            </w:pPr>
            <w:r w:rsidRPr="00827CFB">
              <w:rPr>
                <w:b/>
                <w:bCs/>
              </w:rPr>
              <w:t>13 250 336,23</w:t>
            </w:r>
          </w:p>
        </w:tc>
        <w:tc>
          <w:tcPr>
            <w:tcW w:w="1701" w:type="dxa"/>
            <w:tcBorders>
              <w:top w:val="nil"/>
              <w:left w:val="nil"/>
              <w:bottom w:val="single" w:sz="4" w:space="0" w:color="auto"/>
              <w:right w:val="single" w:sz="4" w:space="0" w:color="auto"/>
            </w:tcBorders>
            <w:noWrap/>
            <w:vAlign w:val="bottom"/>
          </w:tcPr>
          <w:p w:rsidR="00DF3E96" w:rsidRPr="00827CFB" w:rsidRDefault="00DF3E96" w:rsidP="00297CEF">
            <w:pPr>
              <w:jc w:val="center"/>
              <w:rPr>
                <w:b/>
                <w:bCs/>
              </w:rPr>
            </w:pPr>
            <w:r w:rsidRPr="00827CFB">
              <w:rPr>
                <w:b/>
                <w:bCs/>
              </w:rPr>
              <w:t>11 655 422,46</w:t>
            </w:r>
          </w:p>
        </w:tc>
        <w:tc>
          <w:tcPr>
            <w:tcW w:w="1417" w:type="dxa"/>
            <w:tcBorders>
              <w:top w:val="nil"/>
              <w:left w:val="nil"/>
              <w:bottom w:val="single" w:sz="4" w:space="0" w:color="auto"/>
              <w:right w:val="single" w:sz="4" w:space="0" w:color="auto"/>
            </w:tcBorders>
            <w:noWrap/>
            <w:vAlign w:val="bottom"/>
          </w:tcPr>
          <w:p w:rsidR="00DF3E96" w:rsidRPr="00827CFB" w:rsidRDefault="00DF3E96" w:rsidP="00297CEF">
            <w:pPr>
              <w:jc w:val="center"/>
              <w:rPr>
                <w:b/>
                <w:bCs/>
              </w:rPr>
            </w:pPr>
            <w:r w:rsidRPr="00827CFB">
              <w:rPr>
                <w:b/>
                <w:bCs/>
              </w:rPr>
              <w:t>267 069,66</w:t>
            </w:r>
          </w:p>
        </w:tc>
        <w:tc>
          <w:tcPr>
            <w:tcW w:w="1560" w:type="dxa"/>
            <w:tcBorders>
              <w:top w:val="nil"/>
              <w:left w:val="nil"/>
              <w:bottom w:val="single" w:sz="4" w:space="0" w:color="auto"/>
              <w:right w:val="single" w:sz="4" w:space="0" w:color="auto"/>
            </w:tcBorders>
            <w:noWrap/>
            <w:vAlign w:val="bottom"/>
          </w:tcPr>
          <w:p w:rsidR="00DF3E96" w:rsidRPr="00827CFB" w:rsidRDefault="00DF3E96" w:rsidP="00297CEF">
            <w:pPr>
              <w:jc w:val="center"/>
              <w:rPr>
                <w:b/>
                <w:bCs/>
              </w:rPr>
            </w:pPr>
            <w:r w:rsidRPr="00827CFB">
              <w:rPr>
                <w:b/>
                <w:bCs/>
              </w:rPr>
              <w:t>1 327 844,11</w:t>
            </w:r>
          </w:p>
        </w:tc>
      </w:tr>
    </w:tbl>
    <w:p w:rsidR="00DF3E96" w:rsidRPr="00A64E3E" w:rsidRDefault="00DF3E96" w:rsidP="00992642">
      <w:pPr>
        <w:spacing w:after="158"/>
        <w:rPr>
          <w:b/>
          <w:bCs/>
          <w:sz w:val="26"/>
          <w:szCs w:val="26"/>
          <w:lang w:eastAsia="uk-UA" w:bidi="mr-IN"/>
        </w:rPr>
      </w:pPr>
      <w:r w:rsidRPr="0026072E">
        <w:rPr>
          <w:b/>
          <w:color w:val="000000"/>
          <w:sz w:val="28"/>
          <w:szCs w:val="28"/>
          <w:lang w:val="uk-UA"/>
        </w:rPr>
        <w:t>Всього ви</w:t>
      </w:r>
      <w:r>
        <w:rPr>
          <w:b/>
          <w:color w:val="000000"/>
          <w:sz w:val="28"/>
          <w:szCs w:val="28"/>
          <w:lang w:val="uk-UA"/>
        </w:rPr>
        <w:t>користання коштів</w:t>
      </w:r>
      <w:r w:rsidRPr="0026072E">
        <w:rPr>
          <w:b/>
          <w:color w:val="000000"/>
          <w:sz w:val="28"/>
          <w:szCs w:val="28"/>
          <w:lang w:val="uk-UA"/>
        </w:rPr>
        <w:t xml:space="preserve"> підприємства з</w:t>
      </w:r>
      <w:r>
        <w:rPr>
          <w:b/>
          <w:color w:val="000000"/>
          <w:sz w:val="28"/>
          <w:szCs w:val="28"/>
          <w:lang w:val="uk-UA"/>
        </w:rPr>
        <w:t>а І квартал 2022 року 13 250 336,23</w:t>
      </w:r>
      <w:r w:rsidRPr="0026072E">
        <w:rPr>
          <w:b/>
          <w:color w:val="000000"/>
          <w:sz w:val="28"/>
          <w:szCs w:val="28"/>
          <w:lang w:val="uk-UA"/>
        </w:rPr>
        <w:t xml:space="preserve"> грн.</w:t>
      </w:r>
      <w:r w:rsidRPr="009344E9">
        <w:rPr>
          <w:b/>
          <w:bCs/>
          <w:sz w:val="26"/>
          <w:szCs w:val="26"/>
          <w:lang w:val="uk-UA" w:eastAsia="uk-UA" w:bidi="mr-IN"/>
        </w:rPr>
        <w:t xml:space="preserve"> </w:t>
      </w:r>
    </w:p>
    <w:p w:rsidR="00DF3E96" w:rsidRPr="00AE3A38" w:rsidRDefault="00DF3E96" w:rsidP="00992642">
      <w:pPr>
        <w:spacing w:after="158"/>
        <w:rPr>
          <w:b/>
          <w:bCs/>
          <w:sz w:val="26"/>
          <w:szCs w:val="26"/>
          <w:lang w:eastAsia="uk-UA" w:bidi="mr-IN"/>
        </w:rPr>
      </w:pPr>
      <w:r w:rsidRPr="00F564C6">
        <w:rPr>
          <w:b/>
          <w:bCs/>
          <w:sz w:val="26"/>
          <w:szCs w:val="26"/>
          <w:lang w:val="uk-UA" w:eastAsia="uk-UA" w:bidi="mr-IN"/>
        </w:rPr>
        <w:t xml:space="preserve">Середньомісячні витрати на оплату праці, грн: </w:t>
      </w:r>
    </w:p>
    <w:p w:rsidR="00DF3E96" w:rsidRPr="00F564C6" w:rsidRDefault="00DF3E96" w:rsidP="00992642">
      <w:pPr>
        <w:numPr>
          <w:ilvl w:val="0"/>
          <w:numId w:val="3"/>
        </w:numPr>
        <w:shd w:val="clear" w:color="auto" w:fill="FFFFFF"/>
        <w:spacing w:before="100" w:beforeAutospacing="1" w:after="100" w:afterAutospacing="1"/>
        <w:ind w:firstLine="0"/>
        <w:rPr>
          <w:sz w:val="26"/>
          <w:szCs w:val="26"/>
          <w:lang w:val="uk-UA" w:eastAsia="uk-UA" w:bidi="mr-IN"/>
        </w:rPr>
      </w:pPr>
      <w:r w:rsidRPr="00F564C6">
        <w:rPr>
          <w:sz w:val="26"/>
          <w:szCs w:val="26"/>
          <w:lang w:val="uk-UA" w:eastAsia="uk-UA" w:bidi="mr-IN"/>
        </w:rPr>
        <w:t xml:space="preserve">керівники – </w:t>
      </w:r>
      <w:r>
        <w:rPr>
          <w:sz w:val="26"/>
          <w:szCs w:val="26"/>
          <w:lang w:val="uk-UA" w:eastAsia="uk-UA" w:bidi="mr-IN"/>
        </w:rPr>
        <w:t>24 808</w:t>
      </w:r>
    </w:p>
    <w:p w:rsidR="00DF3E96" w:rsidRPr="00F564C6" w:rsidRDefault="00DF3E96" w:rsidP="00992642">
      <w:pPr>
        <w:numPr>
          <w:ilvl w:val="0"/>
          <w:numId w:val="3"/>
        </w:numPr>
        <w:shd w:val="clear" w:color="auto" w:fill="FFFFFF"/>
        <w:spacing w:before="100" w:beforeAutospacing="1" w:after="100" w:afterAutospacing="1"/>
        <w:ind w:firstLine="0"/>
        <w:rPr>
          <w:sz w:val="26"/>
          <w:szCs w:val="26"/>
          <w:lang w:val="uk-UA" w:eastAsia="uk-UA" w:bidi="mr-IN"/>
        </w:rPr>
      </w:pPr>
      <w:r w:rsidRPr="00F564C6">
        <w:rPr>
          <w:sz w:val="26"/>
          <w:szCs w:val="26"/>
          <w:lang w:val="uk-UA" w:eastAsia="uk-UA" w:bidi="mr-IN"/>
        </w:rPr>
        <w:t xml:space="preserve">керівники структурних підрозділів – </w:t>
      </w:r>
      <w:r>
        <w:rPr>
          <w:sz w:val="26"/>
          <w:szCs w:val="26"/>
          <w:lang w:val="uk-UA" w:eastAsia="uk-UA" w:bidi="mr-IN"/>
        </w:rPr>
        <w:t>17 141</w:t>
      </w:r>
    </w:p>
    <w:p w:rsidR="00DF3E96" w:rsidRPr="00F564C6" w:rsidRDefault="00DF3E96" w:rsidP="00992642">
      <w:pPr>
        <w:numPr>
          <w:ilvl w:val="0"/>
          <w:numId w:val="3"/>
        </w:numPr>
        <w:shd w:val="clear" w:color="auto" w:fill="FFFFFF"/>
        <w:spacing w:before="100" w:beforeAutospacing="1" w:after="100" w:afterAutospacing="1"/>
        <w:ind w:firstLine="0"/>
        <w:rPr>
          <w:sz w:val="26"/>
          <w:szCs w:val="26"/>
          <w:lang w:val="uk-UA" w:eastAsia="uk-UA" w:bidi="mr-IN"/>
        </w:rPr>
      </w:pPr>
      <w:r w:rsidRPr="00F564C6">
        <w:rPr>
          <w:sz w:val="26"/>
          <w:szCs w:val="26"/>
          <w:lang w:val="uk-UA" w:eastAsia="uk-UA" w:bidi="mr-IN"/>
        </w:rPr>
        <w:t xml:space="preserve">лікарі – </w:t>
      </w:r>
      <w:r>
        <w:rPr>
          <w:sz w:val="26"/>
          <w:szCs w:val="26"/>
          <w:lang w:val="uk-UA" w:eastAsia="uk-UA" w:bidi="mr-IN"/>
        </w:rPr>
        <w:t>19 256</w:t>
      </w:r>
    </w:p>
    <w:p w:rsidR="00DF3E96" w:rsidRPr="00F564C6" w:rsidRDefault="00DF3E96" w:rsidP="00992642">
      <w:pPr>
        <w:numPr>
          <w:ilvl w:val="0"/>
          <w:numId w:val="3"/>
        </w:numPr>
        <w:shd w:val="clear" w:color="auto" w:fill="FFFFFF"/>
        <w:spacing w:before="100" w:beforeAutospacing="1" w:after="100" w:afterAutospacing="1"/>
        <w:ind w:firstLine="0"/>
        <w:rPr>
          <w:sz w:val="26"/>
          <w:szCs w:val="26"/>
          <w:lang w:val="uk-UA" w:eastAsia="uk-UA" w:bidi="mr-IN"/>
        </w:rPr>
      </w:pPr>
      <w:r w:rsidRPr="00F564C6">
        <w:rPr>
          <w:sz w:val="26"/>
          <w:szCs w:val="26"/>
          <w:lang w:val="uk-UA" w:eastAsia="uk-UA" w:bidi="mr-IN"/>
        </w:rPr>
        <w:t xml:space="preserve">середній медичний персонал – </w:t>
      </w:r>
      <w:r>
        <w:rPr>
          <w:sz w:val="26"/>
          <w:szCs w:val="26"/>
          <w:lang w:val="uk-UA" w:eastAsia="uk-UA" w:bidi="mr-IN"/>
        </w:rPr>
        <w:t>12 962</w:t>
      </w:r>
    </w:p>
    <w:p w:rsidR="00DF3E96" w:rsidRPr="00F564C6" w:rsidRDefault="00DF3E96" w:rsidP="00992642">
      <w:pPr>
        <w:numPr>
          <w:ilvl w:val="0"/>
          <w:numId w:val="3"/>
        </w:numPr>
        <w:shd w:val="clear" w:color="auto" w:fill="FFFFFF"/>
        <w:spacing w:before="100" w:beforeAutospacing="1" w:after="100" w:afterAutospacing="1"/>
        <w:ind w:firstLine="0"/>
        <w:rPr>
          <w:sz w:val="26"/>
          <w:szCs w:val="26"/>
          <w:lang w:val="uk-UA" w:eastAsia="uk-UA" w:bidi="mr-IN"/>
        </w:rPr>
      </w:pPr>
      <w:r w:rsidRPr="00F564C6">
        <w:rPr>
          <w:sz w:val="26"/>
          <w:szCs w:val="26"/>
          <w:lang w:val="uk-UA" w:eastAsia="uk-UA" w:bidi="mr-IN"/>
        </w:rPr>
        <w:t xml:space="preserve">молодший медичний персонал – </w:t>
      </w:r>
      <w:r>
        <w:rPr>
          <w:sz w:val="26"/>
          <w:szCs w:val="26"/>
          <w:lang w:val="uk-UA" w:eastAsia="uk-UA" w:bidi="mr-IN"/>
        </w:rPr>
        <w:t>7 105</w:t>
      </w:r>
    </w:p>
    <w:p w:rsidR="00DF3E96" w:rsidRPr="00F564C6" w:rsidRDefault="00DF3E96" w:rsidP="00992642">
      <w:pPr>
        <w:numPr>
          <w:ilvl w:val="0"/>
          <w:numId w:val="3"/>
        </w:numPr>
        <w:shd w:val="clear" w:color="auto" w:fill="FFFFFF"/>
        <w:spacing w:before="100" w:beforeAutospacing="1" w:after="100" w:afterAutospacing="1"/>
        <w:ind w:firstLine="0"/>
        <w:rPr>
          <w:sz w:val="26"/>
          <w:szCs w:val="26"/>
          <w:lang w:val="uk-UA" w:eastAsia="uk-UA" w:bidi="mr-IN"/>
        </w:rPr>
      </w:pPr>
      <w:r w:rsidRPr="00F564C6">
        <w:rPr>
          <w:sz w:val="26"/>
          <w:szCs w:val="26"/>
          <w:lang w:val="uk-UA" w:eastAsia="uk-UA" w:bidi="mr-IN"/>
        </w:rPr>
        <w:t xml:space="preserve">інші працівники – </w:t>
      </w:r>
      <w:r>
        <w:rPr>
          <w:sz w:val="26"/>
          <w:szCs w:val="26"/>
          <w:lang w:val="uk-UA" w:eastAsia="uk-UA" w:bidi="mr-IN"/>
        </w:rPr>
        <w:t>8 726</w:t>
      </w:r>
    </w:p>
    <w:p w:rsidR="00DF3E96" w:rsidRPr="00AE3A38" w:rsidRDefault="00DF3E96" w:rsidP="00992642">
      <w:pPr>
        <w:numPr>
          <w:ilvl w:val="0"/>
          <w:numId w:val="3"/>
        </w:numPr>
        <w:shd w:val="clear" w:color="auto" w:fill="FFFFFF"/>
        <w:spacing w:before="100" w:beforeAutospacing="1" w:after="100" w:afterAutospacing="1"/>
        <w:ind w:firstLine="0"/>
        <w:rPr>
          <w:sz w:val="26"/>
          <w:szCs w:val="26"/>
          <w:lang w:val="uk-UA" w:eastAsia="uk-UA" w:bidi="mr-IN"/>
        </w:rPr>
      </w:pPr>
      <w:r w:rsidRPr="00F564C6">
        <w:rPr>
          <w:sz w:val="26"/>
          <w:szCs w:val="26"/>
          <w:lang w:val="uk-UA" w:eastAsia="uk-UA" w:bidi="mr-IN"/>
        </w:rPr>
        <w:t xml:space="preserve">по закладу – </w:t>
      </w:r>
      <w:r>
        <w:rPr>
          <w:sz w:val="26"/>
          <w:szCs w:val="26"/>
          <w:lang w:val="uk-UA" w:eastAsia="uk-UA" w:bidi="mr-IN"/>
        </w:rPr>
        <w:t>12 451</w:t>
      </w:r>
    </w:p>
    <w:p w:rsidR="00DF3E96" w:rsidRPr="00A97130" w:rsidRDefault="00DF3E96" w:rsidP="00992642">
      <w:pPr>
        <w:ind w:right="-141"/>
        <w:jc w:val="center"/>
        <w:rPr>
          <w:b/>
          <w:bCs/>
          <w:sz w:val="26"/>
          <w:szCs w:val="26"/>
          <w:lang w:val="uk-UA"/>
        </w:rPr>
      </w:pPr>
      <w:r w:rsidRPr="00A97130">
        <w:rPr>
          <w:b/>
          <w:bCs/>
          <w:sz w:val="26"/>
          <w:szCs w:val="26"/>
          <w:lang w:val="uk-UA"/>
        </w:rPr>
        <w:t>Придбання основних засобів , ІНМА та проведення поточних ремонтів</w:t>
      </w:r>
    </w:p>
    <w:tbl>
      <w:tblPr>
        <w:tblW w:w="102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9"/>
        <w:gridCol w:w="1900"/>
      </w:tblGrid>
      <w:tr w:rsidR="00DF3E96" w:rsidRPr="00A97130" w:rsidTr="00297CEF">
        <w:trPr>
          <w:trHeight w:val="390"/>
        </w:trPr>
        <w:tc>
          <w:tcPr>
            <w:tcW w:w="8369" w:type="dxa"/>
            <w:vAlign w:val="center"/>
          </w:tcPr>
          <w:p w:rsidR="00DF3E96" w:rsidRPr="00A97130" w:rsidRDefault="00DF3E96" w:rsidP="00297CEF">
            <w:pPr>
              <w:jc w:val="center"/>
              <w:rPr>
                <w:b/>
                <w:bCs/>
                <w:sz w:val="26"/>
                <w:szCs w:val="26"/>
              </w:rPr>
            </w:pPr>
            <w:r w:rsidRPr="00A97130">
              <w:rPr>
                <w:b/>
                <w:bCs/>
                <w:sz w:val="26"/>
                <w:szCs w:val="26"/>
              </w:rPr>
              <w:t>Інші необоротні матеріальні активи</w:t>
            </w:r>
          </w:p>
        </w:tc>
        <w:tc>
          <w:tcPr>
            <w:tcW w:w="1900" w:type="dxa"/>
            <w:noWrap/>
            <w:vAlign w:val="bottom"/>
          </w:tcPr>
          <w:p w:rsidR="00DF3E96" w:rsidRPr="00A97130" w:rsidRDefault="00DF3E96" w:rsidP="00297CEF">
            <w:pPr>
              <w:jc w:val="center"/>
              <w:rPr>
                <w:b/>
                <w:bCs/>
                <w:color w:val="000000"/>
                <w:sz w:val="26"/>
                <w:szCs w:val="26"/>
              </w:rPr>
            </w:pPr>
            <w:r w:rsidRPr="00A97130">
              <w:rPr>
                <w:b/>
                <w:bCs/>
                <w:color w:val="000000"/>
                <w:sz w:val="26"/>
                <w:szCs w:val="26"/>
              </w:rPr>
              <w:t>20 740,02</w:t>
            </w:r>
          </w:p>
        </w:tc>
      </w:tr>
      <w:tr w:rsidR="00DF3E96" w:rsidRPr="00A97130" w:rsidTr="00297CEF">
        <w:trPr>
          <w:trHeight w:val="390"/>
        </w:trPr>
        <w:tc>
          <w:tcPr>
            <w:tcW w:w="8369" w:type="dxa"/>
            <w:noWrap/>
            <w:vAlign w:val="bottom"/>
          </w:tcPr>
          <w:p w:rsidR="00DF3E96" w:rsidRPr="00A97130" w:rsidRDefault="00DF3E96" w:rsidP="00297CEF">
            <w:pPr>
              <w:rPr>
                <w:sz w:val="26"/>
                <w:szCs w:val="26"/>
              </w:rPr>
            </w:pPr>
            <w:r w:rsidRPr="00A97130">
              <w:rPr>
                <w:sz w:val="26"/>
                <w:szCs w:val="26"/>
              </w:rPr>
              <w:t>Тонометр механічний (10 шт)</w:t>
            </w:r>
          </w:p>
        </w:tc>
        <w:tc>
          <w:tcPr>
            <w:tcW w:w="1900" w:type="dxa"/>
            <w:noWrap/>
            <w:vAlign w:val="bottom"/>
          </w:tcPr>
          <w:p w:rsidR="00DF3E96" w:rsidRPr="00A97130" w:rsidRDefault="00DF3E96" w:rsidP="00297CEF">
            <w:pPr>
              <w:jc w:val="center"/>
              <w:rPr>
                <w:sz w:val="26"/>
                <w:szCs w:val="26"/>
              </w:rPr>
            </w:pPr>
            <w:r w:rsidRPr="00A97130">
              <w:rPr>
                <w:sz w:val="26"/>
                <w:szCs w:val="26"/>
              </w:rPr>
              <w:t>2550,02</w:t>
            </w:r>
          </w:p>
        </w:tc>
      </w:tr>
      <w:tr w:rsidR="00DF3E96" w:rsidRPr="00A97130" w:rsidTr="00297CEF">
        <w:trPr>
          <w:trHeight w:val="390"/>
        </w:trPr>
        <w:tc>
          <w:tcPr>
            <w:tcW w:w="8369" w:type="dxa"/>
            <w:noWrap/>
            <w:vAlign w:val="bottom"/>
          </w:tcPr>
          <w:p w:rsidR="00DF3E96" w:rsidRPr="00A97130" w:rsidRDefault="00DF3E96" w:rsidP="00297CEF">
            <w:pPr>
              <w:rPr>
                <w:sz w:val="26"/>
                <w:szCs w:val="26"/>
              </w:rPr>
            </w:pPr>
            <w:r w:rsidRPr="00A97130">
              <w:rPr>
                <w:sz w:val="26"/>
                <w:szCs w:val="26"/>
              </w:rPr>
              <w:t>Інструменти для опер.блоків</w:t>
            </w:r>
          </w:p>
        </w:tc>
        <w:tc>
          <w:tcPr>
            <w:tcW w:w="1900" w:type="dxa"/>
            <w:noWrap/>
            <w:vAlign w:val="bottom"/>
          </w:tcPr>
          <w:p w:rsidR="00DF3E96" w:rsidRPr="00A97130" w:rsidRDefault="00DF3E96" w:rsidP="00297CEF">
            <w:pPr>
              <w:jc w:val="center"/>
              <w:rPr>
                <w:color w:val="000000"/>
                <w:sz w:val="26"/>
                <w:szCs w:val="26"/>
              </w:rPr>
            </w:pPr>
            <w:r w:rsidRPr="00A97130">
              <w:rPr>
                <w:color w:val="000000"/>
                <w:sz w:val="26"/>
                <w:szCs w:val="26"/>
              </w:rPr>
              <w:t>5400,0</w:t>
            </w:r>
          </w:p>
        </w:tc>
      </w:tr>
      <w:tr w:rsidR="00DF3E96" w:rsidRPr="00A97130" w:rsidTr="00297CEF">
        <w:trPr>
          <w:trHeight w:val="390"/>
        </w:trPr>
        <w:tc>
          <w:tcPr>
            <w:tcW w:w="8369" w:type="dxa"/>
            <w:noWrap/>
            <w:vAlign w:val="bottom"/>
          </w:tcPr>
          <w:p w:rsidR="00DF3E96" w:rsidRPr="00A97130" w:rsidRDefault="00DF3E96" w:rsidP="00297CEF">
            <w:pPr>
              <w:rPr>
                <w:sz w:val="26"/>
                <w:szCs w:val="26"/>
              </w:rPr>
            </w:pPr>
            <w:r w:rsidRPr="00A97130">
              <w:rPr>
                <w:sz w:val="26"/>
                <w:szCs w:val="26"/>
              </w:rPr>
              <w:t>Персональний комп'ютер</w:t>
            </w:r>
          </w:p>
        </w:tc>
        <w:tc>
          <w:tcPr>
            <w:tcW w:w="1900" w:type="dxa"/>
            <w:noWrap/>
            <w:vAlign w:val="bottom"/>
          </w:tcPr>
          <w:p w:rsidR="00DF3E96" w:rsidRPr="00A97130" w:rsidRDefault="00DF3E96" w:rsidP="00297CEF">
            <w:pPr>
              <w:jc w:val="center"/>
              <w:rPr>
                <w:color w:val="000000"/>
                <w:sz w:val="26"/>
                <w:szCs w:val="26"/>
              </w:rPr>
            </w:pPr>
            <w:r w:rsidRPr="00A97130">
              <w:rPr>
                <w:color w:val="000000"/>
                <w:sz w:val="26"/>
                <w:szCs w:val="26"/>
              </w:rPr>
              <w:t>18190</w:t>
            </w:r>
          </w:p>
        </w:tc>
      </w:tr>
    </w:tbl>
    <w:p w:rsidR="00DF3E96" w:rsidRPr="00A97130" w:rsidRDefault="00DF3E96" w:rsidP="00230B33">
      <w:pPr>
        <w:ind w:firstLine="720"/>
        <w:jc w:val="both"/>
        <w:rPr>
          <w:sz w:val="26"/>
          <w:szCs w:val="26"/>
          <w:lang w:val="uk-UA"/>
        </w:rPr>
      </w:pPr>
      <w:r w:rsidRPr="00A97130">
        <w:rPr>
          <w:sz w:val="26"/>
          <w:szCs w:val="26"/>
          <w:lang w:val="uk-UA"/>
        </w:rPr>
        <w:t>В штатному розписі станом на 01.04.2022 року зареєстровано всього             236,00 посад:  50,5 лікарських посад,  95,5 посад молодших спеціалістів з медичною освітою, молодших медичних сестер – 42 та 45,5 посад іншого персоналу.</w:t>
      </w:r>
    </w:p>
    <w:p w:rsidR="00DF3E96" w:rsidRPr="00A97130" w:rsidRDefault="00DF3E96" w:rsidP="00230B33">
      <w:pPr>
        <w:jc w:val="both"/>
        <w:rPr>
          <w:sz w:val="26"/>
          <w:szCs w:val="26"/>
          <w:lang w:val="uk-UA"/>
        </w:rPr>
      </w:pPr>
      <w:r w:rsidRPr="00A97130">
        <w:rPr>
          <w:sz w:val="26"/>
          <w:szCs w:val="26"/>
          <w:lang w:val="uk-UA"/>
        </w:rPr>
        <w:tab/>
        <w:t>В КП «Рожищенська багатопрофільна лікарня»  працює  213 працівників (з них жінки - 174) (крім того 17 працівників перебувають у відпустці по догляду за дитиною, 12 – зовнішніх сумісників), з яких:</w:t>
      </w:r>
    </w:p>
    <w:p w:rsidR="00DF3E96" w:rsidRPr="00A97130" w:rsidRDefault="00DF3E96" w:rsidP="00230B33">
      <w:pPr>
        <w:numPr>
          <w:ilvl w:val="0"/>
          <w:numId w:val="2"/>
        </w:numPr>
        <w:rPr>
          <w:sz w:val="26"/>
          <w:szCs w:val="26"/>
          <w:lang w:val="uk-UA"/>
        </w:rPr>
      </w:pPr>
      <w:r w:rsidRPr="00A97130">
        <w:rPr>
          <w:sz w:val="26"/>
          <w:szCs w:val="26"/>
          <w:lang w:val="uk-UA"/>
        </w:rPr>
        <w:t xml:space="preserve"> 43 лікарів (з них  1 лікар-інтерн);</w:t>
      </w:r>
    </w:p>
    <w:p w:rsidR="00DF3E96" w:rsidRPr="00A97130" w:rsidRDefault="00DF3E96" w:rsidP="00230B33">
      <w:pPr>
        <w:numPr>
          <w:ilvl w:val="0"/>
          <w:numId w:val="2"/>
        </w:numPr>
        <w:rPr>
          <w:sz w:val="26"/>
          <w:szCs w:val="26"/>
          <w:lang w:val="uk-UA"/>
        </w:rPr>
      </w:pPr>
      <w:r w:rsidRPr="00A97130">
        <w:rPr>
          <w:sz w:val="26"/>
          <w:szCs w:val="26"/>
          <w:lang w:val="uk-UA"/>
        </w:rPr>
        <w:t xml:space="preserve"> 93 молодших спеціалістів з медичною освітою;</w:t>
      </w:r>
    </w:p>
    <w:p w:rsidR="00DF3E96" w:rsidRPr="00A97130" w:rsidRDefault="00DF3E96" w:rsidP="00230B33">
      <w:pPr>
        <w:numPr>
          <w:ilvl w:val="0"/>
          <w:numId w:val="2"/>
        </w:numPr>
        <w:rPr>
          <w:sz w:val="26"/>
          <w:szCs w:val="26"/>
          <w:lang w:val="uk-UA"/>
        </w:rPr>
      </w:pPr>
      <w:r w:rsidRPr="00A97130">
        <w:rPr>
          <w:sz w:val="26"/>
          <w:szCs w:val="26"/>
          <w:lang w:val="uk-UA"/>
        </w:rPr>
        <w:t xml:space="preserve"> 40 молодших медичних сестер;</w:t>
      </w:r>
    </w:p>
    <w:p w:rsidR="00DF3E96" w:rsidRPr="00A97130" w:rsidRDefault="00DF3E96" w:rsidP="00230B33">
      <w:pPr>
        <w:numPr>
          <w:ilvl w:val="0"/>
          <w:numId w:val="2"/>
        </w:numPr>
        <w:rPr>
          <w:sz w:val="26"/>
          <w:szCs w:val="26"/>
          <w:lang w:val="uk-UA"/>
        </w:rPr>
      </w:pPr>
      <w:r w:rsidRPr="00A97130">
        <w:rPr>
          <w:sz w:val="26"/>
          <w:szCs w:val="26"/>
          <w:lang w:val="uk-UA"/>
        </w:rPr>
        <w:t xml:space="preserve"> 37 іншого персоналу.</w:t>
      </w:r>
    </w:p>
    <w:p w:rsidR="00DF3E96" w:rsidRPr="00A97130" w:rsidRDefault="00DF3E96" w:rsidP="00230B33">
      <w:pPr>
        <w:pStyle w:val="ListParagraph"/>
        <w:numPr>
          <w:ilvl w:val="0"/>
          <w:numId w:val="5"/>
        </w:numPr>
        <w:jc w:val="both"/>
        <w:rPr>
          <w:sz w:val="26"/>
          <w:szCs w:val="26"/>
          <w:lang w:val="uk-UA"/>
        </w:rPr>
      </w:pPr>
      <w:r w:rsidRPr="00A97130">
        <w:rPr>
          <w:sz w:val="26"/>
          <w:szCs w:val="26"/>
          <w:lang w:val="uk-UA"/>
        </w:rPr>
        <w:t>зовнішніх сумісників – лікарів.</w:t>
      </w:r>
    </w:p>
    <w:p w:rsidR="00DF3E96" w:rsidRPr="00A97130" w:rsidRDefault="00DF3E96" w:rsidP="00230B33">
      <w:pPr>
        <w:ind w:firstLine="709"/>
        <w:jc w:val="both"/>
        <w:rPr>
          <w:sz w:val="26"/>
          <w:szCs w:val="26"/>
          <w:lang w:val="uk-UA"/>
        </w:rPr>
      </w:pPr>
      <w:r w:rsidRPr="00A97130">
        <w:rPr>
          <w:sz w:val="26"/>
          <w:szCs w:val="26"/>
          <w:lang w:val="uk-UA"/>
        </w:rPr>
        <w:t>Кількість працівників, прийняті на умовах неповн</w:t>
      </w:r>
      <w:r>
        <w:rPr>
          <w:sz w:val="26"/>
          <w:szCs w:val="26"/>
          <w:lang w:val="uk-UA"/>
        </w:rPr>
        <w:t xml:space="preserve">ого робочого дня – 5 </w:t>
      </w:r>
      <w:r w:rsidRPr="00A97130">
        <w:rPr>
          <w:sz w:val="26"/>
          <w:szCs w:val="26"/>
          <w:lang w:val="uk-UA"/>
        </w:rPr>
        <w:t>(з них жінки – 3).</w:t>
      </w:r>
    </w:p>
    <w:p w:rsidR="00DF3E96" w:rsidRPr="00A97130" w:rsidRDefault="00DF3E96" w:rsidP="00230B33">
      <w:pPr>
        <w:ind w:firstLine="708"/>
        <w:jc w:val="both"/>
        <w:rPr>
          <w:sz w:val="26"/>
          <w:szCs w:val="26"/>
          <w:lang w:val="uk-UA"/>
        </w:rPr>
      </w:pPr>
      <w:r w:rsidRPr="00A97130">
        <w:rPr>
          <w:sz w:val="26"/>
          <w:szCs w:val="26"/>
          <w:lang w:val="uk-UA"/>
        </w:rPr>
        <w:t>Станом на 01.04.2022 року  атестовано 40 лікарів – 89 %:</w:t>
      </w:r>
    </w:p>
    <w:p w:rsidR="00DF3E96" w:rsidRPr="00A97130" w:rsidRDefault="00DF3E96" w:rsidP="00230B33">
      <w:pPr>
        <w:jc w:val="both"/>
        <w:rPr>
          <w:sz w:val="26"/>
          <w:szCs w:val="26"/>
          <w:lang w:val="uk-UA"/>
        </w:rPr>
      </w:pPr>
      <w:r w:rsidRPr="00A97130">
        <w:rPr>
          <w:sz w:val="26"/>
          <w:szCs w:val="26"/>
          <w:lang w:val="uk-UA"/>
        </w:rPr>
        <w:t>вищу кваліфікаційну категорію мають 18 лікарів – 60 %</w:t>
      </w:r>
    </w:p>
    <w:p w:rsidR="00DF3E96" w:rsidRPr="00A97130" w:rsidRDefault="00DF3E96" w:rsidP="00230B33">
      <w:pPr>
        <w:jc w:val="both"/>
        <w:rPr>
          <w:sz w:val="26"/>
          <w:szCs w:val="26"/>
          <w:lang w:val="uk-UA"/>
        </w:rPr>
      </w:pPr>
      <w:r w:rsidRPr="00A97130">
        <w:rPr>
          <w:sz w:val="26"/>
          <w:szCs w:val="26"/>
          <w:lang w:val="uk-UA"/>
        </w:rPr>
        <w:t>першу   9 лікарів – 30 %</w:t>
      </w:r>
    </w:p>
    <w:p w:rsidR="00DF3E96" w:rsidRPr="00A97130" w:rsidRDefault="00DF3E96" w:rsidP="00230B33">
      <w:pPr>
        <w:jc w:val="both"/>
        <w:rPr>
          <w:sz w:val="26"/>
          <w:szCs w:val="26"/>
          <w:lang w:val="uk-UA"/>
        </w:rPr>
      </w:pPr>
      <w:r w:rsidRPr="00A97130">
        <w:rPr>
          <w:sz w:val="26"/>
          <w:szCs w:val="26"/>
          <w:lang w:val="uk-UA"/>
        </w:rPr>
        <w:t>другу  3 – 10 %</w:t>
      </w:r>
    </w:p>
    <w:p w:rsidR="00DF3E96" w:rsidRPr="00A97130" w:rsidRDefault="00DF3E96" w:rsidP="00230B33">
      <w:pPr>
        <w:jc w:val="both"/>
        <w:rPr>
          <w:sz w:val="26"/>
          <w:szCs w:val="26"/>
          <w:lang w:val="uk-UA"/>
        </w:rPr>
      </w:pPr>
      <w:r w:rsidRPr="00A97130">
        <w:rPr>
          <w:sz w:val="26"/>
          <w:szCs w:val="26"/>
          <w:lang w:val="uk-UA"/>
        </w:rPr>
        <w:t>лікарів-спеціалістів  10 – 22 %</w:t>
      </w:r>
    </w:p>
    <w:p w:rsidR="00DF3E96" w:rsidRPr="00A97130" w:rsidRDefault="00DF3E96" w:rsidP="00230B33">
      <w:pPr>
        <w:jc w:val="both"/>
        <w:rPr>
          <w:sz w:val="26"/>
          <w:szCs w:val="26"/>
          <w:lang w:val="uk-UA"/>
        </w:rPr>
      </w:pPr>
      <w:r w:rsidRPr="00A97130">
        <w:rPr>
          <w:sz w:val="26"/>
          <w:szCs w:val="26"/>
          <w:lang w:val="uk-UA"/>
        </w:rPr>
        <w:t xml:space="preserve">          Серед молодших спеціалістів з медичною освітою  атестовано 92 особи – 88%:</w:t>
      </w:r>
    </w:p>
    <w:p w:rsidR="00DF3E96" w:rsidRPr="00A97130" w:rsidRDefault="00DF3E96" w:rsidP="00230B33">
      <w:pPr>
        <w:jc w:val="both"/>
        <w:rPr>
          <w:sz w:val="26"/>
          <w:szCs w:val="26"/>
          <w:lang w:val="uk-UA"/>
        </w:rPr>
      </w:pPr>
      <w:r w:rsidRPr="00A97130">
        <w:rPr>
          <w:sz w:val="26"/>
          <w:szCs w:val="26"/>
          <w:lang w:val="uk-UA"/>
        </w:rPr>
        <w:t>вищу кваліфікаційну категорію мають 75 – 82 %</w:t>
      </w:r>
    </w:p>
    <w:p w:rsidR="00DF3E96" w:rsidRPr="00A97130" w:rsidRDefault="00DF3E96" w:rsidP="00230B33">
      <w:pPr>
        <w:jc w:val="both"/>
        <w:rPr>
          <w:sz w:val="26"/>
          <w:szCs w:val="26"/>
          <w:lang w:val="uk-UA"/>
        </w:rPr>
      </w:pPr>
      <w:r w:rsidRPr="00A97130">
        <w:rPr>
          <w:sz w:val="26"/>
          <w:szCs w:val="26"/>
          <w:lang w:val="uk-UA"/>
        </w:rPr>
        <w:t>першу  15 – 16 %</w:t>
      </w:r>
    </w:p>
    <w:p w:rsidR="00DF3E96" w:rsidRPr="00A97130" w:rsidRDefault="00DF3E96" w:rsidP="00230B33">
      <w:pPr>
        <w:jc w:val="both"/>
        <w:rPr>
          <w:sz w:val="26"/>
          <w:szCs w:val="26"/>
          <w:lang w:val="uk-UA"/>
        </w:rPr>
      </w:pPr>
      <w:r w:rsidRPr="00A97130">
        <w:rPr>
          <w:sz w:val="26"/>
          <w:szCs w:val="26"/>
          <w:lang w:val="uk-UA"/>
        </w:rPr>
        <w:t>другу  2 – 2 %.</w:t>
      </w:r>
    </w:p>
    <w:p w:rsidR="00DF3E96" w:rsidRPr="00A97130" w:rsidRDefault="00DF3E96" w:rsidP="00230B33">
      <w:pPr>
        <w:ind w:firstLine="708"/>
        <w:jc w:val="both"/>
        <w:rPr>
          <w:sz w:val="26"/>
          <w:szCs w:val="26"/>
          <w:lang w:val="uk-UA"/>
        </w:rPr>
      </w:pPr>
      <w:r w:rsidRPr="00A97130">
        <w:rPr>
          <w:sz w:val="26"/>
          <w:szCs w:val="26"/>
          <w:lang w:val="uk-UA"/>
        </w:rPr>
        <w:t xml:space="preserve">Професійне навчання медичного та обслуговуючого персоналу ведеться згідно з навчальними планами, відповідно до Положення про систему    безперервного професійного розвитку  фахівців у сфері охорони здоров’я. </w:t>
      </w:r>
    </w:p>
    <w:p w:rsidR="00DF3E96" w:rsidRPr="00A97130" w:rsidRDefault="00DF3E96" w:rsidP="00230B33">
      <w:pPr>
        <w:ind w:firstLine="708"/>
        <w:jc w:val="both"/>
        <w:rPr>
          <w:sz w:val="26"/>
          <w:szCs w:val="26"/>
          <w:lang w:val="uk-UA"/>
        </w:rPr>
      </w:pPr>
      <w:r w:rsidRPr="00A97130">
        <w:rPr>
          <w:sz w:val="26"/>
          <w:szCs w:val="26"/>
          <w:lang w:val="uk-UA"/>
        </w:rPr>
        <w:t>Станом на 01.01.2022 року кількість  працюючих пенсіонерів дорівнює по лікарях 4 чоловіки, по середньому медичному персоналу – 3 чоловік, молодшому медичному персоналу – 1 чоловік,  інші – 9 чоловік.</w:t>
      </w:r>
    </w:p>
    <w:p w:rsidR="00DF3E96" w:rsidRPr="00A97130" w:rsidRDefault="00DF3E96" w:rsidP="00230B33">
      <w:pPr>
        <w:ind w:firstLine="708"/>
        <w:jc w:val="both"/>
        <w:rPr>
          <w:sz w:val="26"/>
          <w:szCs w:val="26"/>
          <w:lang w:val="uk-UA"/>
        </w:rPr>
      </w:pPr>
      <w:r w:rsidRPr="00A97130">
        <w:rPr>
          <w:sz w:val="26"/>
          <w:szCs w:val="26"/>
          <w:lang w:val="uk-UA"/>
        </w:rPr>
        <w:t>Кількість  працюючих передпенсійного віку дорівнює по лікарях 9 чоловік, по середньому медичному персоналу – 12 чоловік, молодшому медичному персоналу – 12 чоловік,  інші – 4 чоловік.</w:t>
      </w:r>
    </w:p>
    <w:p w:rsidR="00DF3E96" w:rsidRPr="00A97130" w:rsidRDefault="00DF3E96" w:rsidP="00230B33">
      <w:pPr>
        <w:ind w:firstLine="348"/>
        <w:jc w:val="both"/>
        <w:rPr>
          <w:sz w:val="26"/>
          <w:szCs w:val="26"/>
          <w:lang w:val="uk-UA"/>
        </w:rPr>
      </w:pPr>
      <w:r w:rsidRPr="00A97130">
        <w:rPr>
          <w:sz w:val="26"/>
          <w:szCs w:val="26"/>
          <w:lang w:val="uk-UA"/>
        </w:rPr>
        <w:t xml:space="preserve">Працює 9 молодих спеціалістів, з них: 4 – лікарі-хірурги, 1 -  лікар приймального відділення, 1 – лікар-акушер-гінеколог, 2 – лікаря-стоматолога, 1 – лікар-ортопед-травматолог. Один лікар-інтерн продовжує навчання в інтернатурі за спеціальністю «анестезіологія та інтенсивна терапія». </w:t>
      </w:r>
    </w:p>
    <w:p w:rsidR="00DF3E96" w:rsidRPr="00A97130" w:rsidRDefault="00DF3E96" w:rsidP="00230B33">
      <w:pPr>
        <w:ind w:firstLine="348"/>
        <w:jc w:val="both"/>
        <w:rPr>
          <w:sz w:val="26"/>
          <w:szCs w:val="26"/>
          <w:lang w:val="uk-UA"/>
        </w:rPr>
      </w:pPr>
      <w:r w:rsidRPr="00A97130">
        <w:rPr>
          <w:sz w:val="26"/>
          <w:szCs w:val="26"/>
          <w:lang w:val="uk-UA"/>
        </w:rPr>
        <w:t>Укомплектованість працівниками становить 98 %</w:t>
      </w:r>
    </w:p>
    <w:p w:rsidR="00DF3E96" w:rsidRPr="00A97130" w:rsidRDefault="00DF3E96" w:rsidP="00230B33">
      <w:pPr>
        <w:ind w:firstLine="348"/>
        <w:jc w:val="both"/>
        <w:rPr>
          <w:sz w:val="26"/>
          <w:szCs w:val="26"/>
          <w:lang w:val="uk-UA"/>
        </w:rPr>
      </w:pPr>
      <w:r w:rsidRPr="00A97130">
        <w:rPr>
          <w:sz w:val="26"/>
          <w:szCs w:val="26"/>
          <w:lang w:val="uk-UA"/>
        </w:rPr>
        <w:t>лікарями  89 %;</w:t>
      </w:r>
    </w:p>
    <w:p w:rsidR="00DF3E96" w:rsidRPr="00A97130" w:rsidRDefault="00DF3E96" w:rsidP="00230B33">
      <w:pPr>
        <w:ind w:firstLine="348"/>
        <w:jc w:val="both"/>
        <w:rPr>
          <w:sz w:val="26"/>
          <w:szCs w:val="26"/>
          <w:lang w:val="uk-UA"/>
        </w:rPr>
      </w:pPr>
      <w:r w:rsidRPr="00A97130">
        <w:rPr>
          <w:sz w:val="26"/>
          <w:szCs w:val="26"/>
          <w:lang w:val="uk-UA"/>
        </w:rPr>
        <w:t>молодшими спеціалістами з медичною освітою – 108 %,</w:t>
      </w:r>
    </w:p>
    <w:p w:rsidR="00DF3E96" w:rsidRPr="00A97130" w:rsidRDefault="00DF3E96" w:rsidP="00230B33">
      <w:pPr>
        <w:ind w:firstLine="348"/>
        <w:jc w:val="both"/>
        <w:rPr>
          <w:sz w:val="26"/>
          <w:szCs w:val="26"/>
          <w:lang w:val="uk-UA"/>
        </w:rPr>
      </w:pPr>
      <w:r w:rsidRPr="00A97130">
        <w:rPr>
          <w:sz w:val="26"/>
          <w:szCs w:val="26"/>
          <w:lang w:val="uk-UA"/>
        </w:rPr>
        <w:t>молодшими     медичними сестрами – 99 %;</w:t>
      </w:r>
    </w:p>
    <w:p w:rsidR="00DF3E96" w:rsidRPr="00A97130" w:rsidRDefault="00DF3E96" w:rsidP="00230B33">
      <w:pPr>
        <w:ind w:firstLine="348"/>
        <w:jc w:val="both"/>
        <w:rPr>
          <w:color w:val="002060"/>
          <w:sz w:val="26"/>
          <w:szCs w:val="26"/>
          <w:lang w:val="uk-UA"/>
        </w:rPr>
      </w:pPr>
      <w:r w:rsidRPr="00A97130">
        <w:rPr>
          <w:sz w:val="26"/>
          <w:szCs w:val="26"/>
          <w:lang w:val="uk-UA"/>
        </w:rPr>
        <w:t>іншим персоналом – 85 %.</w:t>
      </w:r>
    </w:p>
    <w:p w:rsidR="00DF3E96" w:rsidRPr="00A97130" w:rsidRDefault="00DF3E96" w:rsidP="00FE129B">
      <w:pPr>
        <w:ind w:firstLine="360"/>
        <w:jc w:val="both"/>
        <w:rPr>
          <w:sz w:val="26"/>
          <w:szCs w:val="26"/>
          <w:lang w:val="uk-UA"/>
        </w:rPr>
      </w:pPr>
      <w:r w:rsidRPr="00A97130">
        <w:rPr>
          <w:sz w:val="26"/>
          <w:szCs w:val="26"/>
          <w:lang w:val="uk-UA"/>
        </w:rPr>
        <w:t>У консультативній поліклініці лікарсько-консультативна допомога надається  по 20 спеціальностях.</w:t>
      </w:r>
    </w:p>
    <w:p w:rsidR="00DF3E96" w:rsidRPr="00A97130" w:rsidRDefault="00DF3E96" w:rsidP="00FE129B">
      <w:pPr>
        <w:ind w:firstLine="360"/>
        <w:jc w:val="both"/>
        <w:rPr>
          <w:sz w:val="26"/>
          <w:szCs w:val="26"/>
          <w:lang w:val="uk-UA"/>
        </w:rPr>
      </w:pPr>
      <w:r w:rsidRPr="00A97130">
        <w:rPr>
          <w:sz w:val="26"/>
          <w:szCs w:val="26"/>
          <w:lang w:val="uk-UA"/>
        </w:rPr>
        <w:t>Амбулаторний прийом за</w:t>
      </w:r>
      <w:r w:rsidRPr="00A97130">
        <w:rPr>
          <w:sz w:val="26"/>
          <w:szCs w:val="26"/>
        </w:rPr>
        <w:t>1квартал</w:t>
      </w:r>
      <w:r w:rsidRPr="00A97130">
        <w:rPr>
          <w:sz w:val="26"/>
          <w:szCs w:val="26"/>
          <w:lang w:val="uk-UA"/>
        </w:rPr>
        <w:t xml:space="preserve"> 2022 рік становить 12644 відвідувань. </w:t>
      </w:r>
    </w:p>
    <w:p w:rsidR="00DF3E96" w:rsidRPr="00A97130" w:rsidRDefault="00DF3E96" w:rsidP="00FE129B">
      <w:pPr>
        <w:ind w:firstLine="708"/>
        <w:jc w:val="both"/>
        <w:rPr>
          <w:sz w:val="26"/>
          <w:szCs w:val="26"/>
          <w:lang w:val="uk-UA"/>
        </w:rPr>
      </w:pPr>
      <w:r w:rsidRPr="00A97130">
        <w:rPr>
          <w:sz w:val="26"/>
          <w:szCs w:val="26"/>
          <w:lang w:val="uk-UA"/>
        </w:rPr>
        <w:t>У консультаційній  поліклініці працює водійська комісія. Протягом  1 кварталу 2022 року оглянуто 181  кандидатів у водії та водіїв транспортних засобів, визнано придатними 181 особи.</w:t>
      </w:r>
    </w:p>
    <w:p w:rsidR="00DF3E96" w:rsidRPr="00A97130" w:rsidRDefault="00DF3E96" w:rsidP="00FE129B">
      <w:pPr>
        <w:ind w:firstLine="708"/>
        <w:jc w:val="both"/>
        <w:rPr>
          <w:sz w:val="26"/>
          <w:szCs w:val="26"/>
          <w:lang w:val="uk-UA"/>
        </w:rPr>
      </w:pPr>
      <w:r w:rsidRPr="00A97130">
        <w:rPr>
          <w:sz w:val="26"/>
          <w:szCs w:val="26"/>
          <w:lang w:val="uk-UA"/>
        </w:rPr>
        <w:t>Комісією на право користування зброєю за 1 квартал 2022 рік обстежено 48 осіб.</w:t>
      </w:r>
    </w:p>
    <w:p w:rsidR="00DF3E96" w:rsidRPr="00A97130" w:rsidRDefault="00DF3E96" w:rsidP="00FE129B">
      <w:pPr>
        <w:ind w:firstLine="708"/>
        <w:jc w:val="both"/>
        <w:rPr>
          <w:sz w:val="26"/>
          <w:szCs w:val="26"/>
          <w:lang w:val="uk-UA"/>
        </w:rPr>
      </w:pPr>
      <w:r w:rsidRPr="00A97130">
        <w:rPr>
          <w:sz w:val="26"/>
          <w:szCs w:val="26"/>
          <w:lang w:val="uk-UA"/>
        </w:rPr>
        <w:t>Кількість оперативних втручань в амбулаторних умовах  складає  209 операцій, що становить 54,5та 10 тис. населення.</w:t>
      </w:r>
    </w:p>
    <w:p w:rsidR="00DF3E96" w:rsidRPr="00A97130" w:rsidRDefault="00DF3E96" w:rsidP="00FE129B">
      <w:pPr>
        <w:pStyle w:val="Style2"/>
        <w:widowControl/>
        <w:spacing w:line="240" w:lineRule="auto"/>
        <w:ind w:right="14" w:firstLine="709"/>
        <w:rPr>
          <w:rStyle w:val="FontStyle19"/>
          <w:sz w:val="26"/>
          <w:szCs w:val="26"/>
          <w:lang w:val="uk-UA" w:eastAsia="uk-UA"/>
        </w:rPr>
      </w:pPr>
      <w:r w:rsidRPr="00A97130">
        <w:rPr>
          <w:rStyle w:val="FontStyle19"/>
          <w:sz w:val="26"/>
          <w:szCs w:val="26"/>
          <w:lang w:val="uk-UA" w:eastAsia="uk-UA"/>
        </w:rPr>
        <w:t xml:space="preserve">Стаціонарна медична допомога населенню надається на 130 стаціонарних ліжках. Забезпеченість стаціонарними ліжками з-а 1 квартал 2022 року становить 33,9на </w:t>
      </w:r>
      <w:r w:rsidRPr="00A97130">
        <w:rPr>
          <w:rStyle w:val="FontStyle19"/>
          <w:spacing w:val="60"/>
          <w:sz w:val="26"/>
          <w:szCs w:val="26"/>
          <w:lang w:val="uk-UA" w:eastAsia="uk-UA"/>
        </w:rPr>
        <w:t>І0</w:t>
      </w:r>
      <w:r w:rsidRPr="00A97130">
        <w:rPr>
          <w:rStyle w:val="FontStyle19"/>
          <w:sz w:val="26"/>
          <w:szCs w:val="26"/>
          <w:lang w:val="uk-UA" w:eastAsia="uk-UA"/>
        </w:rPr>
        <w:t xml:space="preserve"> тис. населення.</w:t>
      </w:r>
    </w:p>
    <w:p w:rsidR="00DF3E96" w:rsidRPr="00A97130" w:rsidRDefault="00DF3E96" w:rsidP="00FE129B">
      <w:pPr>
        <w:pStyle w:val="Style2"/>
        <w:widowControl/>
        <w:spacing w:before="5" w:line="240" w:lineRule="auto"/>
        <w:ind w:firstLine="709"/>
        <w:rPr>
          <w:rStyle w:val="FontStyle19"/>
          <w:sz w:val="26"/>
          <w:szCs w:val="26"/>
          <w:lang w:val="uk-UA" w:eastAsia="uk-UA"/>
        </w:rPr>
      </w:pPr>
      <w:r w:rsidRPr="00A97130">
        <w:rPr>
          <w:rStyle w:val="FontStyle19"/>
          <w:sz w:val="26"/>
          <w:szCs w:val="26"/>
          <w:lang w:val="uk-UA" w:eastAsia="uk-UA"/>
        </w:rPr>
        <w:t>За 1 квартал 2022 ріку до лікарні госпіталізовано 947 хворих, що на 104 хворих більше ніж за 1 квартал  2021 року. З усіх госпіталізованих хворих 47,0% міських жителів (454чол.) і 53,0% жителі села  (493чол.).</w:t>
      </w:r>
    </w:p>
    <w:p w:rsidR="00DF3E96" w:rsidRPr="00A97130" w:rsidRDefault="00DF3E96" w:rsidP="00FE129B">
      <w:pPr>
        <w:pStyle w:val="Style2"/>
        <w:widowControl/>
        <w:spacing w:line="240" w:lineRule="auto"/>
        <w:ind w:firstLine="709"/>
        <w:rPr>
          <w:rStyle w:val="FontStyle19"/>
          <w:sz w:val="26"/>
          <w:szCs w:val="26"/>
          <w:lang w:val="uk-UA" w:eastAsia="uk-UA"/>
        </w:rPr>
      </w:pPr>
      <w:r w:rsidRPr="00A97130">
        <w:rPr>
          <w:rStyle w:val="FontStyle19"/>
          <w:sz w:val="26"/>
          <w:szCs w:val="26"/>
          <w:lang w:val="uk-UA" w:eastAsia="uk-UA"/>
        </w:rPr>
        <w:t>В плановому порядку госпіталізовано 1935 хворих (47,6%).</w:t>
      </w:r>
    </w:p>
    <w:p w:rsidR="00DF3E96" w:rsidRPr="00A97130" w:rsidRDefault="00DF3E96" w:rsidP="00FE129B">
      <w:pPr>
        <w:pStyle w:val="Style4"/>
        <w:widowControl/>
        <w:spacing w:line="240" w:lineRule="auto"/>
        <w:ind w:firstLine="709"/>
        <w:jc w:val="both"/>
        <w:rPr>
          <w:rStyle w:val="FontStyle19140"/>
          <w:sz w:val="26"/>
          <w:szCs w:val="26"/>
          <w:lang w:val="uk-UA"/>
        </w:rPr>
      </w:pPr>
      <w:r w:rsidRPr="00A97130">
        <w:rPr>
          <w:rStyle w:val="FontStyle19"/>
          <w:sz w:val="26"/>
          <w:szCs w:val="26"/>
          <w:lang w:val="uk-UA" w:eastAsia="uk-UA"/>
        </w:rPr>
        <w:t xml:space="preserve">В структурі лікарняної захворюваності перше місце займають хвороби системи кровообігу, друге хвороби органів дихання,    третє травми, отруєння та деякі </w:t>
      </w:r>
      <w:r w:rsidRPr="00A97130">
        <w:rPr>
          <w:rStyle w:val="FontStyle19140"/>
          <w:sz w:val="26"/>
          <w:szCs w:val="26"/>
          <w:lang w:val="uk-UA"/>
        </w:rPr>
        <w:t>інші наслідки дії зовнішніх причин, на четвертому місці захворювання органів травлення.</w:t>
      </w:r>
    </w:p>
    <w:p w:rsidR="00DF3E96" w:rsidRPr="00A97130" w:rsidRDefault="00DF3E96" w:rsidP="00FE129B">
      <w:pPr>
        <w:pStyle w:val="Style2"/>
        <w:widowControl/>
        <w:spacing w:before="5" w:line="240" w:lineRule="auto"/>
        <w:ind w:firstLine="709"/>
        <w:rPr>
          <w:rStyle w:val="FontStyle19"/>
          <w:sz w:val="26"/>
          <w:szCs w:val="26"/>
          <w:lang w:val="uk-UA" w:eastAsia="uk-UA"/>
        </w:rPr>
      </w:pPr>
      <w:r w:rsidRPr="00A97130">
        <w:rPr>
          <w:rStyle w:val="FontStyle19"/>
          <w:sz w:val="26"/>
          <w:szCs w:val="26"/>
          <w:lang w:val="uk-UA" w:eastAsia="uk-UA"/>
        </w:rPr>
        <w:t>За 1 квартал 2022 ріку усіма хворими, які проліковані в стаціонарі було проведено 7448 л/дня. Зайнятість ліжка складає 43,8 дня.</w:t>
      </w:r>
    </w:p>
    <w:p w:rsidR="00DF3E96" w:rsidRPr="00A97130" w:rsidRDefault="00DF3E96" w:rsidP="00FE129B">
      <w:pPr>
        <w:pStyle w:val="Style2"/>
        <w:widowControl/>
        <w:spacing w:line="240" w:lineRule="auto"/>
        <w:ind w:firstLine="709"/>
        <w:rPr>
          <w:rStyle w:val="FontStyle19"/>
          <w:sz w:val="26"/>
          <w:szCs w:val="26"/>
          <w:lang w:val="uk-UA" w:eastAsia="uk-UA"/>
        </w:rPr>
      </w:pPr>
      <w:r w:rsidRPr="00A97130">
        <w:rPr>
          <w:rStyle w:val="FontStyle19"/>
          <w:sz w:val="26"/>
          <w:szCs w:val="26"/>
          <w:lang w:val="uk-UA" w:eastAsia="uk-UA"/>
        </w:rPr>
        <w:t>Середня тривалість лікування за 1 квартал 2022 року становить 7,9дня.</w:t>
      </w:r>
    </w:p>
    <w:p w:rsidR="00DF3E96" w:rsidRPr="00A97130" w:rsidRDefault="00DF3E96" w:rsidP="00FE129B">
      <w:pPr>
        <w:ind w:firstLine="709"/>
        <w:jc w:val="both"/>
        <w:rPr>
          <w:rStyle w:val="FontStyle19"/>
          <w:sz w:val="26"/>
          <w:szCs w:val="26"/>
          <w:lang w:val="uk-UA" w:eastAsia="uk-UA"/>
        </w:rPr>
      </w:pPr>
      <w:r w:rsidRPr="00A97130">
        <w:rPr>
          <w:rStyle w:val="FontStyle19"/>
          <w:sz w:val="26"/>
          <w:szCs w:val="26"/>
          <w:lang w:val="uk-UA" w:eastAsia="uk-UA"/>
        </w:rPr>
        <w:t>Обіг ліжка склав 5,5. Лікарняна летальність становить 1,5%. Всього в лікарні  за1 квартал 2022 ріку померло 14 хворих.</w:t>
      </w:r>
    </w:p>
    <w:p w:rsidR="00DF3E96" w:rsidRPr="00A97130" w:rsidRDefault="00DF3E96" w:rsidP="00FE129B">
      <w:pPr>
        <w:pStyle w:val="Style2"/>
        <w:widowControl/>
        <w:spacing w:before="62" w:line="341" w:lineRule="exact"/>
        <w:ind w:firstLine="538"/>
        <w:rPr>
          <w:rStyle w:val="FontStyle19"/>
          <w:sz w:val="26"/>
          <w:szCs w:val="26"/>
          <w:lang w:val="uk-UA" w:eastAsia="uk-UA"/>
        </w:rPr>
      </w:pPr>
      <w:r w:rsidRPr="00A97130">
        <w:rPr>
          <w:rStyle w:val="FontStyle19"/>
          <w:sz w:val="26"/>
          <w:szCs w:val="26"/>
          <w:lang w:val="uk-UA" w:eastAsia="uk-UA"/>
        </w:rPr>
        <w:t xml:space="preserve">В структурі лікарняної смертності на першому місці хвороби системи кровообігу – 63,8%, на другому місці хвороби органів травлення – 20,5%. третьому місці  </w:t>
      </w:r>
      <w:r w:rsidRPr="00A97130">
        <w:rPr>
          <w:rStyle w:val="FontStyle19140"/>
          <w:sz w:val="26"/>
          <w:szCs w:val="26"/>
        </w:rPr>
        <w:t>злоякісні новоутворення – 5,</w:t>
      </w:r>
      <w:r w:rsidRPr="00A97130">
        <w:rPr>
          <w:rStyle w:val="FontStyle19140"/>
          <w:sz w:val="26"/>
          <w:szCs w:val="26"/>
          <w:lang w:val="uk-UA"/>
        </w:rPr>
        <w:t>9</w:t>
      </w:r>
      <w:r w:rsidRPr="00A97130">
        <w:rPr>
          <w:rStyle w:val="FontStyle19140"/>
          <w:sz w:val="26"/>
          <w:szCs w:val="26"/>
        </w:rPr>
        <w:t xml:space="preserve"> %. </w:t>
      </w:r>
      <w:r w:rsidRPr="00A97130">
        <w:rPr>
          <w:rStyle w:val="FontStyle19"/>
          <w:sz w:val="26"/>
          <w:szCs w:val="26"/>
          <w:lang w:val="uk-UA" w:eastAsia="uk-UA"/>
        </w:rPr>
        <w:t xml:space="preserve"> </w:t>
      </w:r>
    </w:p>
    <w:p w:rsidR="00DF3E96" w:rsidRPr="00A97130" w:rsidRDefault="00DF3E96" w:rsidP="00FE129B">
      <w:pPr>
        <w:pStyle w:val="Style2"/>
        <w:widowControl/>
        <w:spacing w:line="341" w:lineRule="exact"/>
        <w:rPr>
          <w:rStyle w:val="FontStyle19"/>
          <w:sz w:val="26"/>
          <w:szCs w:val="26"/>
          <w:lang w:val="uk-UA" w:eastAsia="uk-UA"/>
        </w:rPr>
      </w:pPr>
      <w:r w:rsidRPr="00A97130">
        <w:rPr>
          <w:rStyle w:val="FontStyle19"/>
          <w:sz w:val="26"/>
          <w:szCs w:val="26"/>
          <w:lang w:val="uk-UA" w:eastAsia="uk-UA"/>
        </w:rPr>
        <w:t>За звітний період в КП «Рожищенській багатопрофільній лікарні» виконано 170 оперативних втручань, що складає 44,3 на 10 тис. населення. Показник хірургічної активності за 1 квартал 2022 року склав 84,2%, до числа пролікованих хворих на ліжках хірургічного профілю.</w:t>
      </w:r>
    </w:p>
    <w:p w:rsidR="00DF3E96" w:rsidRPr="00A97130" w:rsidRDefault="00DF3E96" w:rsidP="00FE129B">
      <w:pPr>
        <w:ind w:firstLine="709"/>
        <w:jc w:val="both"/>
        <w:rPr>
          <w:rStyle w:val="FontStyle19"/>
          <w:sz w:val="26"/>
          <w:szCs w:val="26"/>
          <w:lang w:val="uk-UA" w:eastAsia="uk-UA"/>
        </w:rPr>
      </w:pPr>
      <w:r w:rsidRPr="00A97130">
        <w:rPr>
          <w:rStyle w:val="FontStyle19"/>
          <w:sz w:val="26"/>
          <w:szCs w:val="26"/>
          <w:lang w:val="uk-UA" w:eastAsia="uk-UA"/>
        </w:rPr>
        <w:t>В пологовому відділенні лікарні проведено 36 пологів , за допомогою кесаревого розтину - 8 (22,2%). Відсоток раннього прикладання новонароджених до грудей матері та сумісного перебування породіллі з немовлям становить     98,8 %.</w:t>
      </w:r>
    </w:p>
    <w:p w:rsidR="00DF3E96" w:rsidRPr="00A97130" w:rsidRDefault="00DF3E96" w:rsidP="00FE129B">
      <w:pPr>
        <w:ind w:firstLine="709"/>
        <w:jc w:val="both"/>
        <w:rPr>
          <w:rStyle w:val="FontStyle19"/>
          <w:color w:val="FF0000"/>
          <w:sz w:val="26"/>
          <w:szCs w:val="26"/>
          <w:lang w:val="uk-UA" w:eastAsia="uk-UA"/>
        </w:rPr>
      </w:pPr>
    </w:p>
    <w:p w:rsidR="00DF3E96" w:rsidRPr="00A97130" w:rsidRDefault="00DF3E96" w:rsidP="00FE129B">
      <w:pPr>
        <w:ind w:firstLine="709"/>
        <w:jc w:val="both"/>
        <w:rPr>
          <w:rStyle w:val="FontStyle19"/>
          <w:color w:val="FF0000"/>
          <w:sz w:val="26"/>
          <w:szCs w:val="26"/>
          <w:lang w:val="uk-UA" w:eastAsia="uk-UA"/>
        </w:rPr>
      </w:pPr>
    </w:p>
    <w:p w:rsidR="00DF3E96" w:rsidRPr="00992642" w:rsidRDefault="00DF3E96" w:rsidP="00FE129B">
      <w:pPr>
        <w:ind w:firstLine="709"/>
        <w:jc w:val="both"/>
        <w:rPr>
          <w:rStyle w:val="FontStyle19"/>
          <w:color w:val="FF0000"/>
          <w:sz w:val="28"/>
          <w:szCs w:val="28"/>
          <w:lang w:val="uk-UA" w:eastAsia="uk-UA"/>
        </w:rPr>
      </w:pPr>
    </w:p>
    <w:p w:rsidR="00DF3E96" w:rsidRDefault="00DF3E96" w:rsidP="00FE129B">
      <w:pPr>
        <w:jc w:val="both"/>
        <w:rPr>
          <w:sz w:val="28"/>
          <w:szCs w:val="28"/>
          <w:lang w:val="uk-UA"/>
        </w:rPr>
      </w:pPr>
    </w:p>
    <w:p w:rsidR="00DF3E96" w:rsidRDefault="00DF3E96" w:rsidP="00FE129B">
      <w:pPr>
        <w:jc w:val="both"/>
        <w:rPr>
          <w:sz w:val="28"/>
          <w:szCs w:val="28"/>
          <w:lang w:val="uk-UA"/>
        </w:rPr>
      </w:pPr>
      <w:r>
        <w:rPr>
          <w:sz w:val="28"/>
          <w:szCs w:val="28"/>
        </w:rPr>
        <w:t>Директор</w:t>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t xml:space="preserve">                          Віктор РЕДЗІЙ</w:t>
      </w:r>
    </w:p>
    <w:p w:rsidR="00DF3E96" w:rsidRDefault="00DF3E96" w:rsidP="00FE129B">
      <w:pPr>
        <w:jc w:val="both"/>
        <w:rPr>
          <w:sz w:val="28"/>
          <w:szCs w:val="28"/>
          <w:lang w:val="uk-UA"/>
        </w:rPr>
      </w:pPr>
    </w:p>
    <w:p w:rsidR="00DF3E96" w:rsidRPr="00511E3A" w:rsidRDefault="00DF3E96" w:rsidP="00410383">
      <w:pPr>
        <w:ind w:right="-141" w:firstLine="10915"/>
        <w:rPr>
          <w:sz w:val="28"/>
          <w:szCs w:val="28"/>
          <w:lang w:val="uk-UA"/>
        </w:rPr>
      </w:pPr>
    </w:p>
    <w:sectPr w:rsidR="00DF3E96" w:rsidRPr="00511E3A" w:rsidSect="00A97130">
      <w:pgSz w:w="11906" w:h="16838" w:code="9"/>
      <w:pgMar w:top="357" w:right="567" w:bottom="18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C420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A86D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FAE1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E706C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3856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0213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6A9B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92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7A93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CCEAD0"/>
    <w:lvl w:ilvl="0">
      <w:start w:val="1"/>
      <w:numFmt w:val="bullet"/>
      <w:lvlText w:val=""/>
      <w:lvlJc w:val="left"/>
      <w:pPr>
        <w:tabs>
          <w:tab w:val="num" w:pos="360"/>
        </w:tabs>
        <w:ind w:left="360" w:hanging="360"/>
      </w:pPr>
      <w:rPr>
        <w:rFonts w:ascii="Symbol" w:hAnsi="Symbol" w:hint="default"/>
      </w:rPr>
    </w:lvl>
  </w:abstractNum>
  <w:abstractNum w:abstractNumId="10">
    <w:nsid w:val="0C8923F8"/>
    <w:multiLevelType w:val="hybridMultilevel"/>
    <w:tmpl w:val="3BEC4994"/>
    <w:lvl w:ilvl="0" w:tplc="E12E36C2">
      <w:start w:val="18"/>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3FF677BC"/>
    <w:multiLevelType w:val="hybridMultilevel"/>
    <w:tmpl w:val="BAE0D920"/>
    <w:lvl w:ilvl="0" w:tplc="FBE0645C">
      <w:start w:val="12"/>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12">
    <w:nsid w:val="5BFE60A1"/>
    <w:multiLevelType w:val="multilevel"/>
    <w:tmpl w:val="8E3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C5372"/>
    <w:multiLevelType w:val="hybridMultilevel"/>
    <w:tmpl w:val="6972D0E6"/>
    <w:lvl w:ilvl="0" w:tplc="D16A523E">
      <w:start w:val="1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A31788"/>
    <w:multiLevelType w:val="hybridMultilevel"/>
    <w:tmpl w:val="D63A104C"/>
    <w:lvl w:ilvl="0" w:tplc="4C220504">
      <w:start w:val="11"/>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3C"/>
    <w:rsid w:val="00004041"/>
    <w:rsid w:val="0001151F"/>
    <w:rsid w:val="000565DC"/>
    <w:rsid w:val="000C7136"/>
    <w:rsid w:val="000D106D"/>
    <w:rsid w:val="000F7671"/>
    <w:rsid w:val="00151013"/>
    <w:rsid w:val="00155B1E"/>
    <w:rsid w:val="001A1658"/>
    <w:rsid w:val="001F20ED"/>
    <w:rsid w:val="00230B33"/>
    <w:rsid w:val="0025256A"/>
    <w:rsid w:val="0026072E"/>
    <w:rsid w:val="0028728A"/>
    <w:rsid w:val="00297CEF"/>
    <w:rsid w:val="002C5481"/>
    <w:rsid w:val="002E7DE9"/>
    <w:rsid w:val="002F58B3"/>
    <w:rsid w:val="002F6344"/>
    <w:rsid w:val="0034581A"/>
    <w:rsid w:val="003851F4"/>
    <w:rsid w:val="003B3CF8"/>
    <w:rsid w:val="003C095C"/>
    <w:rsid w:val="003D51F1"/>
    <w:rsid w:val="00410383"/>
    <w:rsid w:val="00454C25"/>
    <w:rsid w:val="004D2F3C"/>
    <w:rsid w:val="004F52EC"/>
    <w:rsid w:val="00511E3A"/>
    <w:rsid w:val="005C2093"/>
    <w:rsid w:val="00601A01"/>
    <w:rsid w:val="006263E5"/>
    <w:rsid w:val="0064040D"/>
    <w:rsid w:val="0067072E"/>
    <w:rsid w:val="006816FE"/>
    <w:rsid w:val="00682315"/>
    <w:rsid w:val="006A4254"/>
    <w:rsid w:val="006B43B6"/>
    <w:rsid w:val="006D3AF7"/>
    <w:rsid w:val="006E0600"/>
    <w:rsid w:val="006E5339"/>
    <w:rsid w:val="007131F9"/>
    <w:rsid w:val="00726157"/>
    <w:rsid w:val="0077608E"/>
    <w:rsid w:val="007D3ED9"/>
    <w:rsid w:val="007E4BDA"/>
    <w:rsid w:val="007E77BE"/>
    <w:rsid w:val="007F768D"/>
    <w:rsid w:val="00811431"/>
    <w:rsid w:val="008218DC"/>
    <w:rsid w:val="00827CFB"/>
    <w:rsid w:val="00840B1F"/>
    <w:rsid w:val="00853514"/>
    <w:rsid w:val="00883FA7"/>
    <w:rsid w:val="008B4D86"/>
    <w:rsid w:val="008C19FD"/>
    <w:rsid w:val="008E332E"/>
    <w:rsid w:val="0090116E"/>
    <w:rsid w:val="00904D46"/>
    <w:rsid w:val="00906A3A"/>
    <w:rsid w:val="00913583"/>
    <w:rsid w:val="00913D69"/>
    <w:rsid w:val="009344E9"/>
    <w:rsid w:val="009446AB"/>
    <w:rsid w:val="00947C61"/>
    <w:rsid w:val="00962476"/>
    <w:rsid w:val="00992642"/>
    <w:rsid w:val="00A00709"/>
    <w:rsid w:val="00A14F13"/>
    <w:rsid w:val="00A46147"/>
    <w:rsid w:val="00A5444C"/>
    <w:rsid w:val="00A57C0F"/>
    <w:rsid w:val="00A64E3E"/>
    <w:rsid w:val="00A97130"/>
    <w:rsid w:val="00AE3A38"/>
    <w:rsid w:val="00B14FB0"/>
    <w:rsid w:val="00B86872"/>
    <w:rsid w:val="00B8743F"/>
    <w:rsid w:val="00BB11E7"/>
    <w:rsid w:val="00BF33A2"/>
    <w:rsid w:val="00C354C7"/>
    <w:rsid w:val="00C61C2A"/>
    <w:rsid w:val="00C74004"/>
    <w:rsid w:val="00CB7FD4"/>
    <w:rsid w:val="00CD44CB"/>
    <w:rsid w:val="00CF1BEC"/>
    <w:rsid w:val="00D132C5"/>
    <w:rsid w:val="00D57B61"/>
    <w:rsid w:val="00D60F4C"/>
    <w:rsid w:val="00D92D14"/>
    <w:rsid w:val="00DE196F"/>
    <w:rsid w:val="00DE7160"/>
    <w:rsid w:val="00DE7DD6"/>
    <w:rsid w:val="00DF3E96"/>
    <w:rsid w:val="00DF5748"/>
    <w:rsid w:val="00E45682"/>
    <w:rsid w:val="00E8201E"/>
    <w:rsid w:val="00EA2664"/>
    <w:rsid w:val="00EB7C82"/>
    <w:rsid w:val="00EC7913"/>
    <w:rsid w:val="00F07898"/>
    <w:rsid w:val="00F26C52"/>
    <w:rsid w:val="00F34B85"/>
    <w:rsid w:val="00F53469"/>
    <w:rsid w:val="00F5518B"/>
    <w:rsid w:val="00F564C6"/>
    <w:rsid w:val="00F57495"/>
    <w:rsid w:val="00F62E73"/>
    <w:rsid w:val="00F828F6"/>
    <w:rsid w:val="00F93FB0"/>
    <w:rsid w:val="00FE129B"/>
    <w:rsid w:val="00FE2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3C"/>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D2F3C"/>
    <w:pPr>
      <w:keepNext/>
      <w:outlineLvl w:val="0"/>
    </w:pPr>
    <w:rPr>
      <w:i/>
      <w:i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F3C"/>
    <w:rPr>
      <w:rFonts w:ascii="Times New Roman" w:hAnsi="Times New Roman" w:cs="Times New Roman"/>
      <w:i/>
      <w:iCs/>
      <w:sz w:val="24"/>
      <w:szCs w:val="24"/>
      <w:lang w:eastAsia="ru-RU"/>
    </w:rPr>
  </w:style>
  <w:style w:type="character" w:styleId="Hyperlink">
    <w:name w:val="Hyperlink"/>
    <w:basedOn w:val="DefaultParagraphFont"/>
    <w:uiPriority w:val="99"/>
    <w:rsid w:val="004D2F3C"/>
    <w:rPr>
      <w:rFonts w:cs="Times New Roman"/>
      <w:color w:val="0000FF"/>
      <w:u w:val="single"/>
    </w:rPr>
  </w:style>
  <w:style w:type="paragraph" w:styleId="BalloonText">
    <w:name w:val="Balloon Text"/>
    <w:basedOn w:val="Normal"/>
    <w:link w:val="BalloonTextChar"/>
    <w:uiPriority w:val="99"/>
    <w:semiHidden/>
    <w:rsid w:val="004D2F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3C"/>
    <w:rPr>
      <w:rFonts w:ascii="Tahoma" w:hAnsi="Tahoma" w:cs="Tahoma"/>
      <w:sz w:val="16"/>
      <w:szCs w:val="16"/>
      <w:lang w:val="ru-RU" w:eastAsia="ru-RU"/>
    </w:rPr>
  </w:style>
  <w:style w:type="table" w:styleId="TableGrid">
    <w:name w:val="Table Grid"/>
    <w:basedOn w:val="TableNormal"/>
    <w:uiPriority w:val="99"/>
    <w:rsid w:val="00155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
    <w:uiPriority w:val="99"/>
    <w:rsid w:val="00FE129B"/>
    <w:pPr>
      <w:widowControl w:val="0"/>
      <w:autoSpaceDE w:val="0"/>
      <w:autoSpaceDN w:val="0"/>
      <w:adjustRightInd w:val="0"/>
      <w:spacing w:line="342" w:lineRule="exact"/>
      <w:ind w:firstLine="542"/>
      <w:jc w:val="both"/>
    </w:pPr>
  </w:style>
  <w:style w:type="paragraph" w:customStyle="1" w:styleId="Style4">
    <w:name w:val="Style4"/>
    <w:basedOn w:val="Normal"/>
    <w:link w:val="Style40"/>
    <w:uiPriority w:val="99"/>
    <w:rsid w:val="00FE129B"/>
    <w:pPr>
      <w:widowControl w:val="0"/>
      <w:autoSpaceDE w:val="0"/>
      <w:autoSpaceDN w:val="0"/>
      <w:adjustRightInd w:val="0"/>
      <w:spacing w:line="347" w:lineRule="exact"/>
      <w:ind w:firstLine="538"/>
    </w:pPr>
  </w:style>
  <w:style w:type="character" w:customStyle="1" w:styleId="FontStyle19">
    <w:name w:val="Font Style19"/>
    <w:basedOn w:val="DefaultParagraphFont"/>
    <w:uiPriority w:val="99"/>
    <w:rsid w:val="00FE129B"/>
    <w:rPr>
      <w:rFonts w:ascii="Times New Roman" w:hAnsi="Times New Roman" w:cs="Times New Roman"/>
      <w:spacing w:val="20"/>
      <w:sz w:val="24"/>
      <w:szCs w:val="24"/>
    </w:rPr>
  </w:style>
  <w:style w:type="paragraph" w:customStyle="1" w:styleId="FontStyle1914">
    <w:name w:val="Font Style19 + 14 пт"/>
    <w:basedOn w:val="Style4"/>
    <w:link w:val="FontStyle19140"/>
    <w:uiPriority w:val="99"/>
    <w:rsid w:val="00FE129B"/>
    <w:pPr>
      <w:widowControl/>
      <w:spacing w:line="341" w:lineRule="exact"/>
      <w:ind w:firstLine="552"/>
      <w:jc w:val="both"/>
    </w:pPr>
    <w:rPr>
      <w:sz w:val="28"/>
      <w:szCs w:val="28"/>
      <w:lang w:val="uk-UA" w:eastAsia="uk-UA"/>
    </w:rPr>
  </w:style>
  <w:style w:type="character" w:customStyle="1" w:styleId="Style40">
    <w:name w:val="Style4 Знак"/>
    <w:basedOn w:val="DefaultParagraphFont"/>
    <w:link w:val="Style4"/>
    <w:uiPriority w:val="99"/>
    <w:locked/>
    <w:rsid w:val="00FE129B"/>
    <w:rPr>
      <w:rFonts w:ascii="Times New Roman" w:hAnsi="Times New Roman" w:cs="Times New Roman"/>
      <w:sz w:val="24"/>
      <w:szCs w:val="24"/>
      <w:lang w:val="ru-RU" w:eastAsia="ru-RU"/>
    </w:rPr>
  </w:style>
  <w:style w:type="character" w:customStyle="1" w:styleId="FontStyle19140">
    <w:name w:val="Font Style19 + 14 пт Знак"/>
    <w:basedOn w:val="Style40"/>
    <w:link w:val="FontStyle1914"/>
    <w:uiPriority w:val="99"/>
    <w:locked/>
    <w:rsid w:val="00FE129B"/>
    <w:rPr>
      <w:sz w:val="28"/>
      <w:szCs w:val="28"/>
      <w:lang w:eastAsia="uk-UA"/>
    </w:rPr>
  </w:style>
  <w:style w:type="paragraph" w:styleId="ListParagraph">
    <w:name w:val="List Paragraph"/>
    <w:basedOn w:val="Normal"/>
    <w:uiPriority w:val="99"/>
    <w:qFormat/>
    <w:rsid w:val="00FE129B"/>
    <w:pPr>
      <w:suppressAutoHyphens/>
      <w:ind w:left="720"/>
      <w:contextualSpacing/>
    </w:pPr>
    <w:rPr>
      <w:sz w:val="20"/>
      <w:szCs w:val="20"/>
      <w:lang w:eastAsia="zh-CN"/>
    </w:rPr>
  </w:style>
  <w:style w:type="character" w:customStyle="1" w:styleId="forpeoplewithlowvision">
    <w:name w:val="forpeoplewithlowvision"/>
    <w:basedOn w:val="DefaultParagraphFont"/>
    <w:uiPriority w:val="99"/>
    <w:rsid w:val="00FE129B"/>
    <w:rPr>
      <w:rFonts w:cs="Times New Roman"/>
    </w:rPr>
  </w:style>
</w:styles>
</file>

<file path=word/webSettings.xml><?xml version="1.0" encoding="utf-8"?>
<w:webSettings xmlns:r="http://schemas.openxmlformats.org/officeDocument/2006/relationships" xmlns:w="http://schemas.openxmlformats.org/wordprocessingml/2006/main">
  <w:divs>
    <w:div w:id="1392270464">
      <w:marLeft w:val="0"/>
      <w:marRight w:val="0"/>
      <w:marTop w:val="0"/>
      <w:marBottom w:val="0"/>
      <w:divBdr>
        <w:top w:val="none" w:sz="0" w:space="0" w:color="auto"/>
        <w:left w:val="none" w:sz="0" w:space="0" w:color="auto"/>
        <w:bottom w:val="none" w:sz="0" w:space="0" w:color="auto"/>
        <w:right w:val="none" w:sz="0" w:space="0" w:color="auto"/>
      </w:divBdr>
    </w:div>
    <w:div w:id="1392270465">
      <w:marLeft w:val="0"/>
      <w:marRight w:val="0"/>
      <w:marTop w:val="0"/>
      <w:marBottom w:val="0"/>
      <w:divBdr>
        <w:top w:val="none" w:sz="0" w:space="0" w:color="auto"/>
        <w:left w:val="none" w:sz="0" w:space="0" w:color="auto"/>
        <w:bottom w:val="none" w:sz="0" w:space="0" w:color="auto"/>
        <w:right w:val="none" w:sz="0" w:space="0" w:color="auto"/>
      </w:divBdr>
    </w:div>
    <w:div w:id="1392270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1348</Words>
  <Characters>7689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sekretar</cp:lastModifiedBy>
  <cp:revision>4</cp:revision>
  <cp:lastPrinted>2022-06-10T09:17:00Z</cp:lastPrinted>
  <dcterms:created xsi:type="dcterms:W3CDTF">2022-06-10T09:56:00Z</dcterms:created>
  <dcterms:modified xsi:type="dcterms:W3CDTF">2022-06-10T10:03:00Z</dcterms:modified>
</cp:coreProperties>
</file>